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2359E" w14:textId="77777777" w:rsidR="00F24147" w:rsidRPr="002647F7" w:rsidRDefault="00F24147" w:rsidP="00317DE3">
      <w:pPr>
        <w:pStyle w:val="Szvegtrzs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jc w:val="center"/>
        <w:rPr>
          <w:rFonts w:ascii="Times New Roman" w:hAnsi="Times New Roman"/>
          <w:b/>
          <w:smallCaps/>
          <w:sz w:val="24"/>
          <w:szCs w:val="24"/>
        </w:rPr>
      </w:pPr>
      <w:bookmarkStart w:id="0" w:name="_GoBack"/>
      <w:bookmarkEnd w:id="0"/>
      <w:r w:rsidRPr="002647F7">
        <w:rPr>
          <w:rFonts w:ascii="Times New Roman" w:hAnsi="Times New Roman"/>
          <w:b/>
          <w:smallCaps/>
          <w:sz w:val="24"/>
          <w:szCs w:val="24"/>
        </w:rPr>
        <w:t xml:space="preserve">EIB tudomásulvételi </w:t>
      </w:r>
      <w:r w:rsidR="00FC7E33">
        <w:rPr>
          <w:rFonts w:ascii="Times New Roman" w:hAnsi="Times New Roman"/>
          <w:b/>
          <w:smallCaps/>
          <w:sz w:val="24"/>
          <w:szCs w:val="24"/>
        </w:rPr>
        <w:t xml:space="preserve">és banktitok </w:t>
      </w:r>
      <w:proofErr w:type="spellStart"/>
      <w:r w:rsidR="00FC7E33">
        <w:rPr>
          <w:rFonts w:ascii="Times New Roman" w:hAnsi="Times New Roman"/>
          <w:b/>
          <w:smallCaps/>
          <w:sz w:val="24"/>
          <w:szCs w:val="24"/>
        </w:rPr>
        <w:t>álóli</w:t>
      </w:r>
      <w:proofErr w:type="spellEnd"/>
      <w:r w:rsidR="00FC7E33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A67DF0">
        <w:rPr>
          <w:rFonts w:ascii="Times New Roman" w:hAnsi="Times New Roman"/>
          <w:b/>
          <w:smallCaps/>
          <w:sz w:val="24"/>
          <w:szCs w:val="24"/>
        </w:rPr>
        <w:t xml:space="preserve">felmentő </w:t>
      </w:r>
      <w:r w:rsidRPr="002647F7">
        <w:rPr>
          <w:rFonts w:ascii="Times New Roman" w:hAnsi="Times New Roman"/>
          <w:b/>
          <w:smallCaps/>
          <w:sz w:val="24"/>
          <w:szCs w:val="24"/>
        </w:rPr>
        <w:t>nyilatkozat</w:t>
      </w:r>
    </w:p>
    <w:p w14:paraId="123FA1E1" w14:textId="77777777" w:rsidR="00F24147" w:rsidRPr="002647F7" w:rsidRDefault="00F24147" w:rsidP="00F24147">
      <w:pPr>
        <w:ind w:right="28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47F7">
        <w:rPr>
          <w:rFonts w:ascii="Times New Roman" w:hAnsi="Times New Roman" w:cs="Times New Roman"/>
          <w:i/>
          <w:sz w:val="24"/>
          <w:szCs w:val="24"/>
        </w:rPr>
        <w:t>(Ügyfél tölti ki)</w:t>
      </w:r>
    </w:p>
    <w:p w14:paraId="2E31E00C" w14:textId="77777777" w:rsidR="00F24147" w:rsidRPr="002647F7" w:rsidRDefault="00F24147" w:rsidP="00F24147">
      <w:pPr>
        <w:pStyle w:val="Szvegtrzsbehzssal"/>
        <w:widowControl w:val="0"/>
        <w:tabs>
          <w:tab w:val="left" w:pos="1418"/>
        </w:tabs>
        <w:spacing w:before="120"/>
        <w:ind w:left="567"/>
        <w:rPr>
          <w:szCs w:val="24"/>
        </w:rPr>
      </w:pPr>
      <w:r w:rsidRPr="002647F7">
        <w:rPr>
          <w:szCs w:val="24"/>
        </w:rPr>
        <w:t>Alulírott(</w:t>
      </w:r>
      <w:proofErr w:type="spellStart"/>
      <w:r w:rsidRPr="002647F7">
        <w:rPr>
          <w:szCs w:val="24"/>
        </w:rPr>
        <w:t>ak</w:t>
      </w:r>
      <w:proofErr w:type="spellEnd"/>
      <w:r w:rsidRPr="002647F7">
        <w:rPr>
          <w:szCs w:val="24"/>
        </w:rPr>
        <w:t>), mint a ……………………………………</w:t>
      </w:r>
      <w:proofErr w:type="gramStart"/>
      <w:r w:rsidRPr="002647F7">
        <w:rPr>
          <w:szCs w:val="24"/>
        </w:rPr>
        <w:t>…(</w:t>
      </w:r>
      <w:proofErr w:type="gramEnd"/>
      <w:r w:rsidRPr="002647F7">
        <w:rPr>
          <w:szCs w:val="24"/>
        </w:rPr>
        <w:t>a továbbiakban ”</w:t>
      </w:r>
      <w:r w:rsidRPr="002647F7">
        <w:rPr>
          <w:b/>
          <w:szCs w:val="24"/>
        </w:rPr>
        <w:t>Ügyfél</w:t>
      </w:r>
      <w:r w:rsidRPr="002647F7">
        <w:rPr>
          <w:szCs w:val="24"/>
        </w:rPr>
        <w:t>”) képviseletére jogosult(</w:t>
      </w:r>
      <w:proofErr w:type="spellStart"/>
      <w:r w:rsidRPr="002647F7">
        <w:rPr>
          <w:szCs w:val="24"/>
        </w:rPr>
        <w:t>ak</w:t>
      </w:r>
      <w:proofErr w:type="spellEnd"/>
      <w:r w:rsidRPr="002647F7">
        <w:rPr>
          <w:szCs w:val="24"/>
        </w:rPr>
        <w:t>) hivatkozással a ................... (a továbbiakban „</w:t>
      </w:r>
      <w:r w:rsidRPr="002647F7">
        <w:rPr>
          <w:b/>
          <w:szCs w:val="24"/>
        </w:rPr>
        <w:t>Bank</w:t>
      </w:r>
      <w:r w:rsidRPr="002647F7">
        <w:rPr>
          <w:szCs w:val="24"/>
        </w:rPr>
        <w:t>”) és az Ügyfél között megkötendő Származékos Kölcsönszerződésre, az alábbi nyilatkozatot teszem/tesszük:</w:t>
      </w:r>
    </w:p>
    <w:p w14:paraId="4A6D05C0" w14:textId="77777777" w:rsidR="00F24147" w:rsidRPr="002647F7" w:rsidRDefault="00F24147" w:rsidP="00F24147">
      <w:pPr>
        <w:pStyle w:val="Szvegtrzsbehzssal"/>
        <w:widowControl w:val="0"/>
        <w:tabs>
          <w:tab w:val="left" w:pos="1418"/>
        </w:tabs>
        <w:spacing w:before="120"/>
        <w:ind w:left="567"/>
        <w:rPr>
          <w:szCs w:val="24"/>
        </w:rPr>
      </w:pPr>
      <w:r w:rsidRPr="002647F7">
        <w:rPr>
          <w:szCs w:val="24"/>
        </w:rPr>
        <w:t>Tudomásul bírunk arról, hogy a Bank a Magyar Export-Import Bank Zártkörűen Működő Részvénytársaság (székhely: 1065 Budapest, Nagymező utca 46-48., cégjegyzékszám: 01-10-042594, nyilvántartó cégbíróság: a Fővárosi Törvényszék, mint Cégbíróság) (a továbbiakban: az „</w:t>
      </w:r>
      <w:proofErr w:type="spellStart"/>
      <w:r w:rsidRPr="002647F7">
        <w:rPr>
          <w:b/>
          <w:szCs w:val="24"/>
        </w:rPr>
        <w:t>Eximbank</w:t>
      </w:r>
      <w:proofErr w:type="spellEnd"/>
      <w:r w:rsidRPr="002647F7">
        <w:rPr>
          <w:szCs w:val="24"/>
        </w:rPr>
        <w:t xml:space="preserve">”) általi refinanszírozás alapján biztosít az Ügyfél részére kedvezményezés </w:t>
      </w:r>
      <w:proofErr w:type="spellStart"/>
      <w:r w:rsidRPr="002647F7">
        <w:rPr>
          <w:szCs w:val="24"/>
        </w:rPr>
        <w:t>árazású</w:t>
      </w:r>
      <w:proofErr w:type="spellEnd"/>
      <w:r w:rsidRPr="002647F7">
        <w:rPr>
          <w:szCs w:val="24"/>
        </w:rPr>
        <w:t xml:space="preserve"> kölcsönt a Származékos Kölcsönszerződésbe foglaltak alapján. Fentieken túlmenően a Bank tájékoztatása alapján tudomással bírunk arról, hogy az Európai Beruházási Bank</w:t>
      </w:r>
      <w:r w:rsidR="00B00B4D">
        <w:rPr>
          <w:szCs w:val="24"/>
        </w:rPr>
        <w:t xml:space="preserve"> (EIB)</w:t>
      </w:r>
      <w:r w:rsidRPr="002647F7">
        <w:rPr>
          <w:szCs w:val="24"/>
        </w:rPr>
        <w:t xml:space="preserve"> kedvezményes </w:t>
      </w:r>
      <w:proofErr w:type="spellStart"/>
      <w:r w:rsidRPr="002647F7">
        <w:rPr>
          <w:szCs w:val="24"/>
        </w:rPr>
        <w:t>árazású</w:t>
      </w:r>
      <w:proofErr w:type="spellEnd"/>
      <w:r w:rsidRPr="002647F7">
        <w:rPr>
          <w:szCs w:val="24"/>
        </w:rPr>
        <w:t xml:space="preserve"> forrást biztosít az </w:t>
      </w:r>
      <w:proofErr w:type="spellStart"/>
      <w:r w:rsidRPr="002647F7">
        <w:rPr>
          <w:szCs w:val="24"/>
        </w:rPr>
        <w:t>Eximbank</w:t>
      </w:r>
      <w:proofErr w:type="spellEnd"/>
      <w:r w:rsidRPr="002647F7">
        <w:rPr>
          <w:szCs w:val="24"/>
        </w:rPr>
        <w:t xml:space="preserve"> számára, amely, többek között, a Származékos Kölcsönszerződés alapján folyósított kölcsönök közvetlen finanszírozására szolgál, valamint közvetve lehetőséget biztosít arra, hogy az Ügyfél kedvezményes kölcsönhöz jusson a Származékos Kölcsönszerződés alatt.</w:t>
      </w:r>
    </w:p>
    <w:p w14:paraId="538264F9" w14:textId="77777777" w:rsidR="00F24147" w:rsidRPr="002647F7" w:rsidRDefault="00F24147" w:rsidP="00F24147">
      <w:pPr>
        <w:pStyle w:val="Szvegtrzsbehzssal"/>
        <w:widowControl w:val="0"/>
        <w:tabs>
          <w:tab w:val="left" w:pos="1418"/>
        </w:tabs>
        <w:spacing w:before="120"/>
        <w:ind w:left="567"/>
        <w:rPr>
          <w:szCs w:val="24"/>
        </w:rPr>
      </w:pPr>
      <w:r w:rsidRPr="002647F7">
        <w:rPr>
          <w:szCs w:val="24"/>
        </w:rPr>
        <w:t>A fentiekre tekintettel nyilatkozunk, hogy a Származékos Kölcsönszerződésben is feltüntetésre kerülő alábbiakban felsorolt kötelezettségeknek maradéktalanul eleget teszünk.</w:t>
      </w:r>
    </w:p>
    <w:p w14:paraId="4C689693" w14:textId="77777777" w:rsidR="00F24147" w:rsidRPr="002647F7" w:rsidRDefault="00F24147" w:rsidP="00F24147">
      <w:pPr>
        <w:pStyle w:val="Szvegtrzsbehzssal"/>
        <w:widowControl w:val="0"/>
        <w:tabs>
          <w:tab w:val="left" w:pos="1418"/>
        </w:tabs>
        <w:spacing w:before="120"/>
        <w:ind w:left="567"/>
        <w:rPr>
          <w:szCs w:val="24"/>
        </w:rPr>
      </w:pPr>
      <w:r w:rsidRPr="002647F7">
        <w:rPr>
          <w:szCs w:val="24"/>
        </w:rPr>
        <w:t>Az Ügyfél köteles:</w:t>
      </w:r>
    </w:p>
    <w:p w14:paraId="63655161" w14:textId="77777777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>a Származékos Kölcsönt az EIB alábbi előírásaival összeegyeztethető célra felhasználni. Ennek megfelelően az üzleti típusú adók (például ÁFA) csak akkor finanszírozhatók, ha azok nem visszaigényelhetők. Vámtarifa megfizetése nem finanszírozható.</w:t>
      </w:r>
    </w:p>
    <w:p w14:paraId="40EFD71F" w14:textId="73251849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 xml:space="preserve">az EIB előírásaiba nem ütköző gazdasági tevékenységet folytatni. Az EIB a következő gazdasági tevékenységek esetében zárja ki finanszírozás nyújtását: </w:t>
      </w:r>
      <w:r w:rsidR="00B978DF">
        <w:rPr>
          <w:szCs w:val="24"/>
        </w:rPr>
        <w:t>fegyverek és lőszerek, robbanóanyagok, k</w:t>
      </w:r>
      <w:r w:rsidR="00B978DF" w:rsidRPr="00837E3E">
        <w:rPr>
          <w:szCs w:val="24"/>
        </w:rPr>
        <w:t xml:space="preserve">ifejezetten katonai felhasználásra tervezett </w:t>
      </w:r>
      <w:r w:rsidR="00B978DF">
        <w:rPr>
          <w:szCs w:val="24"/>
        </w:rPr>
        <w:t xml:space="preserve">felszerelések, </w:t>
      </w:r>
      <w:r w:rsidR="00B978DF" w:rsidRPr="00A2346A">
        <w:rPr>
          <w:szCs w:val="24"/>
        </w:rPr>
        <w:t xml:space="preserve">vagy </w:t>
      </w:r>
      <w:r w:rsidR="00B978DF" w:rsidRPr="00A2346A">
        <w:rPr>
          <w:color w:val="202124"/>
          <w:szCs w:val="24"/>
        </w:rPr>
        <w:t>infrastruktúrák gyártását vagy kereskedelmét célzó tevékenységek,</w:t>
      </w:r>
      <w:r w:rsidR="00B978DF">
        <w:rPr>
          <w:color w:val="202124"/>
          <w:szCs w:val="24"/>
        </w:rPr>
        <w:t xml:space="preserve"> </w:t>
      </w:r>
      <w:r w:rsidR="00B978DF" w:rsidRPr="00A2346A">
        <w:rPr>
          <w:color w:val="202124"/>
          <w:szCs w:val="24"/>
        </w:rPr>
        <w:t>valamint olyan felszerelések vagy infrastruktúr</w:t>
      </w:r>
      <w:r w:rsidR="00B978DF">
        <w:rPr>
          <w:color w:val="202124"/>
          <w:szCs w:val="24"/>
        </w:rPr>
        <w:t>ák</w:t>
      </w:r>
      <w:r w:rsidR="00B978DF" w:rsidRPr="00A2346A">
        <w:rPr>
          <w:color w:val="202124"/>
          <w:szCs w:val="24"/>
        </w:rPr>
        <w:t xml:space="preserve">, amelyek korlátozzák az emberek </w:t>
      </w:r>
      <w:r w:rsidR="00340EE1">
        <w:rPr>
          <w:color w:val="202124"/>
          <w:szCs w:val="24"/>
        </w:rPr>
        <w:t xml:space="preserve">személyiségi </w:t>
      </w:r>
      <w:r w:rsidR="00B978DF" w:rsidRPr="00A2346A">
        <w:rPr>
          <w:color w:val="202124"/>
          <w:szCs w:val="24"/>
        </w:rPr>
        <w:t xml:space="preserve">jogait és szabadságát (azaz börtönök, </w:t>
      </w:r>
      <w:proofErr w:type="spellStart"/>
      <w:r w:rsidR="00B978DF" w:rsidRPr="00A2346A">
        <w:rPr>
          <w:color w:val="202124"/>
          <w:szCs w:val="24"/>
        </w:rPr>
        <w:t>fogvatartási</w:t>
      </w:r>
      <w:proofErr w:type="spellEnd"/>
      <w:r w:rsidR="00B978DF" w:rsidRPr="00A2346A">
        <w:rPr>
          <w:color w:val="202124"/>
          <w:szCs w:val="24"/>
        </w:rPr>
        <w:t xml:space="preserve"> központok bármilyen formában), vagy emberi jogok</w:t>
      </w:r>
      <w:r w:rsidR="00340EE1">
        <w:rPr>
          <w:szCs w:val="24"/>
        </w:rPr>
        <w:t xml:space="preserve"> megsértését eredményezik</w:t>
      </w:r>
      <w:r w:rsidRPr="002647F7">
        <w:rPr>
          <w:szCs w:val="24"/>
        </w:rPr>
        <w:t xml:space="preserve">; </w:t>
      </w:r>
      <w:r w:rsidR="00B978DF" w:rsidRPr="00394215">
        <w:rPr>
          <w:szCs w:val="24"/>
        </w:rPr>
        <w:t xml:space="preserve">szerencsejáték vagy az ehhez kapcsolódó berendezések gyártása, vagy ezek használatát elősegítő tevékenység; </w:t>
      </w:r>
      <w:r w:rsidRPr="002647F7">
        <w:rPr>
          <w:szCs w:val="24"/>
        </w:rPr>
        <w:t xml:space="preserve">dohánytermékek gyártása, feldolgozása, elosztása vagy a dohányzást elősegítő tevékenységek végzése; élőállatokon végzett kísérletek folytatása; </w:t>
      </w:r>
      <w:r w:rsidR="00340EE1" w:rsidRPr="006048DF">
        <w:rPr>
          <w:szCs w:val="24"/>
        </w:rPr>
        <w:t>olyan tevékenységek, amelyek olyan környezeti hatásokat okoznak, amelyek</w:t>
      </w:r>
      <w:r w:rsidR="00340EE1">
        <w:rPr>
          <w:szCs w:val="24"/>
        </w:rPr>
        <w:t>et</w:t>
      </w:r>
      <w:r w:rsidR="00340EE1" w:rsidRPr="006048DF">
        <w:rPr>
          <w:szCs w:val="24"/>
        </w:rPr>
        <w:t xml:space="preserve"> nem </w:t>
      </w:r>
      <w:r w:rsidR="00340EE1">
        <w:rPr>
          <w:szCs w:val="24"/>
        </w:rPr>
        <w:t>mérsékelnek</w:t>
      </w:r>
      <w:r w:rsidR="00340EE1" w:rsidRPr="006048DF">
        <w:rPr>
          <w:szCs w:val="24"/>
        </w:rPr>
        <w:t xml:space="preserve"> és/vagy kompenzálnak nagymértékben</w:t>
      </w:r>
      <w:bookmarkStart w:id="1" w:name="_Hlk136861153"/>
      <w:r w:rsidR="00B978DF" w:rsidRPr="00975A4A">
        <w:rPr>
          <w:szCs w:val="24"/>
        </w:rPr>
        <w:t xml:space="preserve"> (beleértve, de nem kizárólagosan a védett területeken, kritikus élőhelyeken és örökségi helyszíneken végzett projekteket)</w:t>
      </w:r>
      <w:r w:rsidR="00351A59">
        <w:rPr>
          <w:szCs w:val="24"/>
        </w:rPr>
        <w:t xml:space="preserve"> </w:t>
      </w:r>
      <w:bookmarkEnd w:id="1"/>
      <w:r w:rsidRPr="002647F7">
        <w:rPr>
          <w:szCs w:val="24"/>
        </w:rPr>
        <w:t>tevékenységek folytatása, mely nincs összhangban az Európai Unió, illetve a nemzeti környezetvédelmi szabályozásokkal;</w:t>
      </w:r>
      <w:r w:rsidR="00351A59">
        <w:rPr>
          <w:szCs w:val="24"/>
        </w:rPr>
        <w:t xml:space="preserve"> </w:t>
      </w:r>
      <w:bookmarkStart w:id="2" w:name="_Hlk136861231"/>
      <w:r w:rsidR="00351A59">
        <w:rPr>
          <w:szCs w:val="24"/>
        </w:rPr>
        <w:t>szénbányászat, - kitermelés, -szállítás, -elosztás és -tárolás; földgázkutatás és -termelés, cseppfolyósítás; földgáz újra gázosítása, szállítása, elosztása és tárolása;</w:t>
      </w:r>
      <w:r w:rsidRPr="002647F7">
        <w:rPr>
          <w:szCs w:val="24"/>
        </w:rPr>
        <w:t xml:space="preserve"> </w:t>
      </w:r>
      <w:bookmarkEnd w:id="2"/>
      <w:proofErr w:type="spellStart"/>
      <w:r w:rsidRPr="002647F7">
        <w:rPr>
          <w:szCs w:val="24"/>
        </w:rPr>
        <w:t>etikailag</w:t>
      </w:r>
      <w:proofErr w:type="spellEnd"/>
      <w:r w:rsidRPr="002647F7">
        <w:rPr>
          <w:szCs w:val="24"/>
        </w:rPr>
        <w:t xml:space="preserve">, morálisan ellentmondásos tevékenység </w:t>
      </w:r>
      <w:bookmarkStart w:id="3" w:name="_Hlk136861292"/>
      <w:r w:rsidR="00351A59" w:rsidRPr="00837E3E">
        <w:rPr>
          <w:szCs w:val="24"/>
        </w:rPr>
        <w:t>(pl.:</w:t>
      </w:r>
      <w:r w:rsidR="00351A59">
        <w:rPr>
          <w:szCs w:val="24"/>
        </w:rPr>
        <w:t xml:space="preserve"> szexkereskedelem és kapcsolódó infrastruktúra, szolgáltatások és média, </w:t>
      </w:r>
      <w:r w:rsidR="00351A59" w:rsidRPr="00837E3E">
        <w:rPr>
          <w:szCs w:val="24"/>
        </w:rPr>
        <w:t>emberi klónozás</w:t>
      </w:r>
      <w:r w:rsidR="00351A59">
        <w:rPr>
          <w:szCs w:val="24"/>
        </w:rPr>
        <w:t>sal kapcsolatos kutatás</w:t>
      </w:r>
      <w:bookmarkEnd w:id="3"/>
      <w:r w:rsidR="00351A59" w:rsidRPr="00837E3E">
        <w:rPr>
          <w:szCs w:val="24"/>
        </w:rPr>
        <w:t>)</w:t>
      </w:r>
      <w:r w:rsidR="00351A59" w:rsidRPr="00394215">
        <w:rPr>
          <w:szCs w:val="24"/>
        </w:rPr>
        <w:t xml:space="preserve">; </w:t>
      </w:r>
      <w:bookmarkStart w:id="4" w:name="_Hlk136861342"/>
      <w:r w:rsidR="00351A59" w:rsidRPr="00837E3E">
        <w:rPr>
          <w:szCs w:val="24"/>
        </w:rPr>
        <w:t>nemzeti jogszabályba ütköző tevékenység</w:t>
      </w:r>
      <w:r w:rsidR="00351A59">
        <w:rPr>
          <w:szCs w:val="24"/>
        </w:rPr>
        <w:t xml:space="preserve">ek (csak ha létezik ilyen), például: genetikailag módosított </w:t>
      </w:r>
      <w:r w:rsidR="00340EE1">
        <w:rPr>
          <w:szCs w:val="24"/>
        </w:rPr>
        <w:t>organizmusok</w:t>
      </w:r>
      <w:r w:rsidR="00351A59">
        <w:rPr>
          <w:szCs w:val="24"/>
        </w:rPr>
        <w:t xml:space="preserve"> (GMO), abortuszklinikák, atomenergia, </w:t>
      </w:r>
      <w:proofErr w:type="spellStart"/>
      <w:r w:rsidR="00351A59">
        <w:rPr>
          <w:szCs w:val="24"/>
        </w:rPr>
        <w:t>stb</w:t>
      </w:r>
      <w:bookmarkEnd w:id="4"/>
      <w:proofErr w:type="spellEnd"/>
      <w:r w:rsidRPr="002647F7">
        <w:rPr>
          <w:szCs w:val="24"/>
        </w:rPr>
        <w:t xml:space="preserve">; goodwill megvétele; olyan immateriális eszközök megvétele, melyek az Ügyfél piaci </w:t>
      </w:r>
      <w:r w:rsidRPr="002647F7">
        <w:rPr>
          <w:szCs w:val="24"/>
        </w:rPr>
        <w:lastRenderedPageBreak/>
        <w:t xml:space="preserve">pozíciójának jelentős erősödésével járnak (a vásárlás következtében a piacrészesedés 20% fölé emelkedne a releváns piacon); ásványkincs kitermelési jog vagy licensz megvásárlása; ingatlanfejlesztési tevékenység; pénzügyi tranzakciók (például részvények vagy egyéb pénzügyi termékek adás-vétele); </w:t>
      </w:r>
    </w:p>
    <w:p w14:paraId="4C1C94C8" w14:textId="77777777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>a Származékos Kölcsönt a Származékos Kölcsönszerződésben foglaltak szerint felhasználni;</w:t>
      </w:r>
    </w:p>
    <w:p w14:paraId="7F84924C" w14:textId="6A254D4E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>a Származékos Kölcsönt a Származékos Kölcsönszerződésben meghatározott időpontig felhasználni;</w:t>
      </w:r>
      <w:r w:rsidR="00D846D2" w:rsidRPr="00D846D2">
        <w:rPr>
          <w:rStyle w:val="Jegyzethivatkozs"/>
        </w:rPr>
        <w:t xml:space="preserve"> </w:t>
      </w:r>
    </w:p>
    <w:p w14:paraId="1BED5F0E" w14:textId="6697C427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 xml:space="preserve">az áru és szolgáltatás beszerzéseit, </w:t>
      </w:r>
      <w:r w:rsidR="0091465E">
        <w:rPr>
          <w:szCs w:val="24"/>
        </w:rPr>
        <w:t>az</w:t>
      </w:r>
      <w:r w:rsidR="0091465E" w:rsidRPr="002647F7">
        <w:rPr>
          <w:szCs w:val="24"/>
        </w:rPr>
        <w:t xml:space="preserve"> </w:t>
      </w:r>
      <w:r w:rsidRPr="002647F7">
        <w:rPr>
          <w:szCs w:val="24"/>
        </w:rPr>
        <w:t>alkalmazandó a vonatkozó EU irányelvek betartásával, ennek hiányában a gazdaságosság és hatékonyság elveinek szem előtt tartása mellett lefolytatni</w:t>
      </w:r>
      <w:bookmarkStart w:id="5" w:name="OLE_LINK13"/>
      <w:r w:rsidR="0091465E">
        <w:rPr>
          <w:szCs w:val="24"/>
        </w:rPr>
        <w:t xml:space="preserve">, </w:t>
      </w:r>
      <w:r w:rsidR="004D0E8A">
        <w:rPr>
          <w:szCs w:val="24"/>
        </w:rPr>
        <w:t>illetve közbeszerzési eljárások esetén az átláthatóság</w:t>
      </w:r>
      <w:r w:rsidR="004F1259">
        <w:rPr>
          <w:szCs w:val="24"/>
        </w:rPr>
        <w:t>,</w:t>
      </w:r>
      <w:r w:rsidR="004D0E8A">
        <w:rPr>
          <w:szCs w:val="24"/>
        </w:rPr>
        <w:t xml:space="preserve"> az egyenlő bánásmód és a diszkrimináció elkerülésének nemzeti alapelveit </w:t>
      </w:r>
      <w:bookmarkEnd w:id="5"/>
      <w:r w:rsidR="0091465E">
        <w:rPr>
          <w:szCs w:val="24"/>
        </w:rPr>
        <w:t>betartani;</w:t>
      </w:r>
    </w:p>
    <w:p w14:paraId="7C644FDC" w14:textId="561AE522" w:rsidR="00F2414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>vagyontárgyait megfelelő állapotban megőrizni, fenntartani</w:t>
      </w:r>
      <w:bookmarkStart w:id="6" w:name="OLE_LINK14"/>
      <w:bookmarkStart w:id="7" w:name="OLE_LINK16"/>
      <w:r w:rsidR="004D0E8A">
        <w:rPr>
          <w:szCs w:val="24"/>
        </w:rPr>
        <w:t>, az</w:t>
      </w:r>
      <w:r w:rsidR="00D94A7E">
        <w:rPr>
          <w:szCs w:val="24"/>
        </w:rPr>
        <w:t>oka</w:t>
      </w:r>
      <w:r w:rsidR="004D0E8A">
        <w:rPr>
          <w:szCs w:val="24"/>
        </w:rPr>
        <w:t>t megfelelően biztosítani</w:t>
      </w:r>
      <w:bookmarkEnd w:id="6"/>
      <w:bookmarkEnd w:id="7"/>
      <w:r w:rsidRPr="002647F7">
        <w:rPr>
          <w:szCs w:val="24"/>
        </w:rPr>
        <w:t>;</w:t>
      </w:r>
    </w:p>
    <w:p w14:paraId="13B4AE55" w14:textId="2A28B763" w:rsidR="00A45774" w:rsidRPr="00353FF6" w:rsidRDefault="00B778CB" w:rsidP="00B778CB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bookmarkStart w:id="8" w:name="OLE_LINK17"/>
      <w:r w:rsidRPr="00353FF6">
        <w:rPr>
          <w:color w:val="auto"/>
        </w:rPr>
        <w:t>betartani a rá, vagy a</w:t>
      </w:r>
      <w:r w:rsidR="006E4DF1" w:rsidRPr="00353FF6">
        <w:rPr>
          <w:color w:val="auto"/>
        </w:rPr>
        <w:t xml:space="preserve"> </w:t>
      </w:r>
      <w:bookmarkStart w:id="9" w:name="OLE_LINK9"/>
      <w:bookmarkStart w:id="10" w:name="OLE_LINK11"/>
      <w:r w:rsidR="006E4DF1" w:rsidRPr="00353FF6">
        <w:rPr>
          <w:color w:val="auto"/>
        </w:rPr>
        <w:t>származékos kölcsönre</w:t>
      </w:r>
      <w:bookmarkEnd w:id="9"/>
      <w:bookmarkEnd w:id="10"/>
      <w:r w:rsidRPr="00353FF6">
        <w:rPr>
          <w:color w:val="auto"/>
        </w:rPr>
        <w:t xml:space="preserve"> </w:t>
      </w:r>
      <w:r w:rsidR="006E4DF1" w:rsidRPr="00353FF6">
        <w:rPr>
          <w:color w:val="auto"/>
        </w:rPr>
        <w:t>v</w:t>
      </w:r>
      <w:r w:rsidRPr="00353FF6">
        <w:rPr>
          <w:color w:val="auto"/>
        </w:rPr>
        <w:t>onatkozó jogszabályokat és rendelkezéseket</w:t>
      </w:r>
      <w:r w:rsidR="00275715" w:rsidRPr="00353FF6">
        <w:rPr>
          <w:color w:val="auto"/>
        </w:rPr>
        <w:t>, különösen</w:t>
      </w:r>
      <w:r w:rsidRPr="00353FF6">
        <w:rPr>
          <w:color w:val="auto"/>
        </w:rPr>
        <w:t xml:space="preserve"> </w:t>
      </w:r>
      <w:r w:rsidR="00275715" w:rsidRPr="00353FF6">
        <w:rPr>
          <w:szCs w:val="24"/>
        </w:rPr>
        <w:t>a magyar, valamint az Európai Unió jogszabályainak megfelelni</w:t>
      </w:r>
      <w:r w:rsidR="0039714C" w:rsidRPr="00353FF6">
        <w:rPr>
          <w:szCs w:val="24"/>
        </w:rPr>
        <w:t>,</w:t>
      </w:r>
      <w:r w:rsidR="00275715" w:rsidRPr="00353FF6">
        <w:rPr>
          <w:color w:val="auto"/>
        </w:rPr>
        <w:t xml:space="preserve"> </w:t>
      </w:r>
      <w:r w:rsidRPr="00353FF6">
        <w:rPr>
          <w:color w:val="auto"/>
        </w:rPr>
        <w:t>beleértve a vonatkozó környezetvédelmi jogszabályokat is</w:t>
      </w:r>
      <w:r w:rsidR="00164693">
        <w:rPr>
          <w:color w:val="auto"/>
        </w:rPr>
        <w:t xml:space="preserve"> </w:t>
      </w:r>
      <w:r w:rsidR="00164693">
        <w:rPr>
          <w:szCs w:val="24"/>
        </w:rPr>
        <w:t xml:space="preserve">és az </w:t>
      </w:r>
      <w:r w:rsidR="00164693" w:rsidRPr="00394215">
        <w:rPr>
          <w:szCs w:val="24"/>
        </w:rPr>
        <w:t>Európai Beruházási Bank előírásait</w:t>
      </w:r>
      <w:r w:rsidR="00164693" w:rsidRPr="00394215">
        <w:rPr>
          <w:rStyle w:val="Lbjegyzet-hivatkozs"/>
          <w:szCs w:val="24"/>
        </w:rPr>
        <w:footnoteReference w:id="1"/>
      </w:r>
      <w:r w:rsidR="00164693" w:rsidRPr="00F13947">
        <w:rPr>
          <w:szCs w:val="24"/>
        </w:rPr>
        <w:t>;</w:t>
      </w:r>
    </w:p>
    <w:p w14:paraId="3AA3B967" w14:textId="38A2C9C6" w:rsidR="00A45774" w:rsidRPr="00353FF6" w:rsidRDefault="00A55304" w:rsidP="00A55304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bookmarkStart w:id="11" w:name="OLE_LINK2"/>
      <w:r w:rsidRPr="00353FF6">
        <w:rPr>
          <w:color w:val="auto"/>
        </w:rPr>
        <w:t xml:space="preserve">végrehajtani és működtetni a projektet az EU jog vonatkozó sztenderdjei és az </w:t>
      </w:r>
      <w:r w:rsidR="006E4DF1" w:rsidRPr="00353FF6">
        <w:rPr>
          <w:color w:val="auto"/>
        </w:rPr>
        <w:t>származékos kölcsön</w:t>
      </w:r>
      <w:r w:rsidRPr="00353FF6">
        <w:rPr>
          <w:color w:val="auto"/>
        </w:rPr>
        <w:t xml:space="preserve"> joghatóság</w:t>
      </w:r>
      <w:r w:rsidR="00C23389" w:rsidRPr="00353FF6">
        <w:rPr>
          <w:color w:val="auto"/>
        </w:rPr>
        <w:t>a szerint a vonatkozó jogszabályok szerint;</w:t>
      </w:r>
      <w:bookmarkEnd w:id="11"/>
      <w:r w:rsidR="00C23389" w:rsidRPr="00353FF6">
        <w:rPr>
          <w:color w:val="auto"/>
        </w:rPr>
        <w:t xml:space="preserve"> </w:t>
      </w:r>
    </w:p>
    <w:p w14:paraId="29AF332D" w14:textId="0B2D843C" w:rsidR="000D22D0" w:rsidRPr="00A249C9" w:rsidRDefault="000D22D0" w:rsidP="000D22D0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bookmarkStart w:id="12" w:name="_Ref42158745"/>
      <w:bookmarkStart w:id="13" w:name="OLE_LINK4"/>
      <w:r w:rsidRPr="00A249C9">
        <w:rPr>
          <w:szCs w:val="24"/>
        </w:rPr>
        <w:t>a Párizsi Éghajlatvédelmi Egyezmény elveit és hőmérsékleti és alkalmazkodási céljait betartani</w:t>
      </w:r>
      <w:bookmarkStart w:id="14" w:name="OLE_LINK22"/>
      <w:r w:rsidRPr="00A249C9">
        <w:rPr>
          <w:szCs w:val="24"/>
        </w:rPr>
        <w:t xml:space="preserve">, „összhangban az alacsony szén-dioxid-kibocsátású és az éghajlatváltozással szemben ellenállóképes fejlődés felé vezető utakkal”. </w:t>
      </w:r>
      <w:bookmarkEnd w:id="14"/>
      <w:r w:rsidRPr="00A249C9">
        <w:rPr>
          <w:szCs w:val="24"/>
        </w:rPr>
        <w:t>Az arányosság elvével összhangban a Származékos Kölcsönszerződés a három legintenzívebb CO2-kibocsátású ágazatra összpontosít:</w:t>
      </w:r>
    </w:p>
    <w:p w14:paraId="414B12D3" w14:textId="77777777" w:rsidR="000D22D0" w:rsidRPr="00A249C9" w:rsidRDefault="000D22D0" w:rsidP="000D22D0">
      <w:pPr>
        <w:pStyle w:val="Szvegtrzsbehzssal"/>
        <w:widowControl w:val="0"/>
        <w:tabs>
          <w:tab w:val="left" w:pos="1418"/>
          <w:tab w:val="left" w:pos="1985"/>
        </w:tabs>
        <w:overflowPunct w:val="0"/>
        <w:autoSpaceDE w:val="0"/>
        <w:autoSpaceDN w:val="0"/>
        <w:adjustRightInd w:val="0"/>
        <w:spacing w:before="120"/>
        <w:ind w:left="1287"/>
        <w:textAlignment w:val="baseline"/>
        <w:rPr>
          <w:szCs w:val="24"/>
        </w:rPr>
      </w:pPr>
      <w:r>
        <w:rPr>
          <w:szCs w:val="24"/>
        </w:rPr>
        <w:t xml:space="preserve">(i) </w:t>
      </w:r>
      <w:r>
        <w:rPr>
          <w:szCs w:val="24"/>
        </w:rPr>
        <w:tab/>
      </w:r>
      <w:r w:rsidRPr="00A249C9">
        <w:rPr>
          <w:szCs w:val="24"/>
        </w:rPr>
        <w:t>energia,</w:t>
      </w:r>
    </w:p>
    <w:p w14:paraId="781DFB72" w14:textId="77777777" w:rsidR="000D22D0" w:rsidRPr="00A249C9" w:rsidRDefault="000D22D0" w:rsidP="000D22D0">
      <w:pPr>
        <w:pStyle w:val="Szvegtrzsbehzssal"/>
        <w:widowControl w:val="0"/>
        <w:tabs>
          <w:tab w:val="left" w:pos="1418"/>
          <w:tab w:val="left" w:pos="1985"/>
        </w:tabs>
        <w:overflowPunct w:val="0"/>
        <w:autoSpaceDE w:val="0"/>
        <w:autoSpaceDN w:val="0"/>
        <w:adjustRightInd w:val="0"/>
        <w:spacing w:before="120"/>
        <w:ind w:left="2124" w:hanging="837"/>
        <w:textAlignment w:val="baseline"/>
        <w:rPr>
          <w:szCs w:val="24"/>
        </w:rPr>
      </w:pPr>
      <w:r>
        <w:rPr>
          <w:szCs w:val="24"/>
        </w:rPr>
        <w:t xml:space="preserve">(ii) </w:t>
      </w:r>
      <w:r>
        <w:rPr>
          <w:szCs w:val="24"/>
        </w:rPr>
        <w:tab/>
      </w:r>
      <w:r w:rsidRPr="00A249C9">
        <w:rPr>
          <w:szCs w:val="24"/>
        </w:rPr>
        <w:t>közlekedési szolgáltatásokhoz kapcsolódó mozgó tárgyi eszközök,</w:t>
      </w:r>
    </w:p>
    <w:p w14:paraId="6D87A173" w14:textId="2162A615" w:rsidR="000D22D0" w:rsidRPr="000D22D0" w:rsidRDefault="000D22D0" w:rsidP="000D22D0">
      <w:pPr>
        <w:pStyle w:val="Szvegtrzsbehzssal"/>
        <w:widowControl w:val="0"/>
        <w:tabs>
          <w:tab w:val="left" w:pos="1418"/>
          <w:tab w:val="left" w:pos="1985"/>
        </w:tabs>
        <w:overflowPunct w:val="0"/>
        <w:autoSpaceDE w:val="0"/>
        <w:autoSpaceDN w:val="0"/>
        <w:adjustRightInd w:val="0"/>
        <w:spacing w:before="120"/>
        <w:ind w:left="1985" w:hanging="709"/>
        <w:textAlignment w:val="baseline"/>
        <w:rPr>
          <w:szCs w:val="24"/>
        </w:rPr>
      </w:pPr>
      <w:r>
        <w:rPr>
          <w:szCs w:val="24"/>
        </w:rPr>
        <w:t xml:space="preserve">(iii) </w:t>
      </w:r>
      <w:r>
        <w:rPr>
          <w:szCs w:val="24"/>
        </w:rPr>
        <w:tab/>
      </w:r>
      <w:r w:rsidRPr="00A249C9">
        <w:rPr>
          <w:szCs w:val="24"/>
        </w:rPr>
        <w:t xml:space="preserve">rendkívül energiaigényes iparágak, amelyek az Európai Bizottság által felállított </w:t>
      </w:r>
      <w:bookmarkStart w:id="15" w:name="OLE_LINK24"/>
      <w:r w:rsidRPr="00A249C9">
        <w:rPr>
          <w:szCs w:val="24"/>
        </w:rPr>
        <w:t xml:space="preserve">Fenntartható Szakértői Csoport </w:t>
      </w:r>
      <w:bookmarkEnd w:id="15"/>
      <w:r w:rsidRPr="00A249C9">
        <w:rPr>
          <w:szCs w:val="24"/>
        </w:rPr>
        <w:t>által kidolgozott, az EU taxonómiájáról szóló zárójelentésben szerepelnek (azaz vas- és acélipar, valamint kapcsolódó tevékenységek, alumíniumgyártás, alapvető vegyi anyagok gyártása, cementgyártás és műanyagok gyártása).</w:t>
      </w:r>
      <w:bookmarkStart w:id="16" w:name="_Hlk136861870"/>
    </w:p>
    <w:bookmarkEnd w:id="16"/>
    <w:p w14:paraId="4C8E2B51" w14:textId="35103A73" w:rsidR="00A45774" w:rsidRPr="00353FF6" w:rsidRDefault="00D5079A" w:rsidP="00BE37B4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353FF6">
        <w:rPr>
          <w:color w:val="auto"/>
        </w:rPr>
        <w:t xml:space="preserve">megőrizni </w:t>
      </w:r>
      <w:r w:rsidR="00D730A3" w:rsidRPr="00353FF6">
        <w:rPr>
          <w:color w:val="auto"/>
        </w:rPr>
        <w:t xml:space="preserve">a származékos kölcsönnel </w:t>
      </w:r>
      <w:r w:rsidRPr="00353FF6">
        <w:rPr>
          <w:color w:val="auto"/>
        </w:rPr>
        <w:t>kapcsol</w:t>
      </w:r>
      <w:r w:rsidR="00D730A3" w:rsidRPr="00353FF6">
        <w:rPr>
          <w:color w:val="auto"/>
        </w:rPr>
        <w:t>atos</w:t>
      </w:r>
      <w:r w:rsidRPr="00353FF6">
        <w:rPr>
          <w:color w:val="auto"/>
        </w:rPr>
        <w:t xml:space="preserve"> tranzakciók és kiadások könyvelését és nyilvántartását</w:t>
      </w:r>
      <w:r w:rsidR="00A45774" w:rsidRPr="00353FF6">
        <w:rPr>
          <w:color w:val="auto"/>
        </w:rPr>
        <w:t xml:space="preserve">, </w:t>
      </w:r>
      <w:r w:rsidR="00BE33E0" w:rsidRPr="00353FF6">
        <w:rPr>
          <w:color w:val="auto"/>
        </w:rPr>
        <w:t xml:space="preserve">melyben helyes és teljes bejegyzéseknek kell szerepelniük </w:t>
      </w:r>
      <w:r w:rsidR="00EE4BC8" w:rsidRPr="00353FF6">
        <w:rPr>
          <w:color w:val="auto"/>
        </w:rPr>
        <w:t>az ügyfél v</w:t>
      </w:r>
      <w:r w:rsidR="00BE33E0" w:rsidRPr="00353FF6">
        <w:rPr>
          <w:color w:val="auto"/>
        </w:rPr>
        <w:t>a</w:t>
      </w:r>
      <w:r w:rsidR="00EE4BC8" w:rsidRPr="00353FF6">
        <w:rPr>
          <w:color w:val="auto"/>
        </w:rPr>
        <w:t>lamennyi</w:t>
      </w:r>
      <w:r w:rsidR="00BE33E0" w:rsidRPr="00353FF6">
        <w:rPr>
          <w:color w:val="auto"/>
        </w:rPr>
        <w:t xml:space="preserve"> pénzügyi tran</w:t>
      </w:r>
      <w:r w:rsidR="00EE4BC8" w:rsidRPr="00353FF6">
        <w:rPr>
          <w:color w:val="auto"/>
        </w:rPr>
        <w:t xml:space="preserve">zakciójáról, eszközeiről és üzleti tevékenységéről, </w:t>
      </w:r>
      <w:r w:rsidR="000D22D0" w:rsidRPr="00353FF6">
        <w:rPr>
          <w:color w:val="auto"/>
        </w:rPr>
        <w:t>ideértve</w:t>
      </w:r>
      <w:r w:rsidR="00EE4BC8" w:rsidRPr="00353FF6">
        <w:rPr>
          <w:color w:val="auto"/>
        </w:rPr>
        <w:t xml:space="preserve"> a</w:t>
      </w:r>
      <w:r w:rsidR="00D730A3" w:rsidRPr="00353FF6">
        <w:rPr>
          <w:color w:val="auto"/>
        </w:rPr>
        <w:t xml:space="preserve"> származékos kölcsönhöz</w:t>
      </w:r>
      <w:r w:rsidR="00EE4BC8" w:rsidRPr="00353FF6">
        <w:rPr>
          <w:color w:val="auto"/>
        </w:rPr>
        <w:t xml:space="preserve"> tartozó kiadásokat a szükséges mértékben</w:t>
      </w:r>
      <w:r w:rsidR="00A45774" w:rsidRPr="00353FF6">
        <w:rPr>
          <w:color w:val="auto"/>
        </w:rPr>
        <w:t>;</w:t>
      </w:r>
      <w:bookmarkStart w:id="17" w:name="OLE_LINK7"/>
      <w:bookmarkEnd w:id="12"/>
      <w:bookmarkEnd w:id="13"/>
      <w:bookmarkEnd w:id="17"/>
    </w:p>
    <w:bookmarkEnd w:id="8"/>
    <w:p w14:paraId="2F589878" w14:textId="77777777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353FF6">
        <w:rPr>
          <w:szCs w:val="24"/>
        </w:rPr>
        <w:t>az Európai Beruházási Bank, az Európai Számvevőszék</w:t>
      </w:r>
      <w:r w:rsidRPr="002647F7">
        <w:rPr>
          <w:szCs w:val="24"/>
        </w:rPr>
        <w:t xml:space="preserve">, valamint az Európai Unió bármely egyéb intézménye, ezeknek alkalmazottai vagy megbízottjai számára lehetővé tenni, hogy </w:t>
      </w:r>
    </w:p>
    <w:p w14:paraId="74DDFCA5" w14:textId="77777777" w:rsidR="00F24147" w:rsidRPr="002647F7" w:rsidRDefault="00F24147" w:rsidP="00353FF6">
      <w:pPr>
        <w:pStyle w:val="Szvegtrzsbehzssal"/>
        <w:widowControl w:val="0"/>
        <w:numPr>
          <w:ilvl w:val="0"/>
          <w:numId w:val="2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ind w:left="1701"/>
        <w:textAlignment w:val="baseline"/>
        <w:rPr>
          <w:szCs w:val="24"/>
        </w:rPr>
      </w:pPr>
      <w:r w:rsidRPr="002647F7">
        <w:rPr>
          <w:szCs w:val="24"/>
        </w:rPr>
        <w:t xml:space="preserve">az Ügyfél által használt létesítményeket és egyéb munkaterületeket </w:t>
      </w:r>
      <w:r w:rsidRPr="002647F7">
        <w:rPr>
          <w:szCs w:val="24"/>
        </w:rPr>
        <w:lastRenderedPageBreak/>
        <w:t>megtekinthessék;</w:t>
      </w:r>
    </w:p>
    <w:p w14:paraId="033249F8" w14:textId="1C4D5140" w:rsidR="00F24147" w:rsidRPr="002647F7" w:rsidRDefault="00F24147" w:rsidP="00353FF6">
      <w:pPr>
        <w:pStyle w:val="Szvegtrzsbehzssal"/>
        <w:widowControl w:val="0"/>
        <w:numPr>
          <w:ilvl w:val="0"/>
          <w:numId w:val="2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ind w:left="1701"/>
        <w:textAlignment w:val="baseline"/>
        <w:rPr>
          <w:szCs w:val="24"/>
        </w:rPr>
      </w:pPr>
      <w:r w:rsidRPr="002647F7">
        <w:rPr>
          <w:szCs w:val="24"/>
        </w:rPr>
        <w:t>az általuk szükségesnek tartott vizsgálatokat lefolytassák</w:t>
      </w:r>
      <w:r w:rsidR="00026B0D">
        <w:rPr>
          <w:szCs w:val="24"/>
        </w:rPr>
        <w:t xml:space="preserve"> – ideértve a</w:t>
      </w:r>
      <w:r w:rsidR="00256222">
        <w:rPr>
          <w:szCs w:val="24"/>
        </w:rPr>
        <w:t xml:space="preserve"> származékos kölcsönnel finanszírozott</w:t>
      </w:r>
      <w:r w:rsidR="00026B0D">
        <w:rPr>
          <w:szCs w:val="24"/>
        </w:rPr>
        <w:t xml:space="preserve"> projekt kapcsán szükségesnek tartott vizsgálatokat is</w:t>
      </w:r>
      <w:r w:rsidRPr="002647F7">
        <w:rPr>
          <w:szCs w:val="24"/>
        </w:rPr>
        <w:t>;</w:t>
      </w:r>
    </w:p>
    <w:p w14:paraId="3B4C64AB" w14:textId="77777777" w:rsidR="00F24147" w:rsidRPr="002647F7" w:rsidRDefault="00F24147" w:rsidP="00353FF6">
      <w:pPr>
        <w:pStyle w:val="Szvegtrzsbehzssal"/>
        <w:widowControl w:val="0"/>
        <w:numPr>
          <w:ilvl w:val="0"/>
          <w:numId w:val="2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ind w:left="1701"/>
        <w:textAlignment w:val="baseline"/>
        <w:rPr>
          <w:szCs w:val="24"/>
        </w:rPr>
      </w:pPr>
      <w:r w:rsidRPr="002647F7">
        <w:rPr>
          <w:szCs w:val="24"/>
        </w:rPr>
        <w:t>az Ügyfél képviselőihez</w:t>
      </w:r>
      <w:r w:rsidR="00B00B4D">
        <w:rPr>
          <w:szCs w:val="24"/>
        </w:rPr>
        <w:t>, illetve szerződéses partnereihez</w:t>
      </w:r>
      <w:r w:rsidRPr="002647F7">
        <w:rPr>
          <w:szCs w:val="24"/>
        </w:rPr>
        <w:t xml:space="preserve"> kérdéseket intézzenek; és</w:t>
      </w:r>
    </w:p>
    <w:p w14:paraId="7CBEC917" w14:textId="77777777" w:rsidR="00F24147" w:rsidRPr="002647F7" w:rsidRDefault="00F24147" w:rsidP="00353FF6">
      <w:pPr>
        <w:pStyle w:val="Szvegtrzsbehzssal"/>
        <w:widowControl w:val="0"/>
        <w:numPr>
          <w:ilvl w:val="0"/>
          <w:numId w:val="2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ind w:left="1701"/>
        <w:textAlignment w:val="baseline"/>
        <w:rPr>
          <w:szCs w:val="24"/>
        </w:rPr>
      </w:pPr>
      <w:r w:rsidRPr="002647F7">
        <w:rPr>
          <w:szCs w:val="24"/>
        </w:rPr>
        <w:t>az Ügyfél könyveit megtekintsék, valamint azokról az alkalmazandó jogszabályok adta lehetőségek keretein belül másolatokat készítsenek;</w:t>
      </w:r>
    </w:p>
    <w:p w14:paraId="08A210AA" w14:textId="77777777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 xml:space="preserve">az Európai Beruházási Bank kérésére megerősíteni, hogy minden környezetvédelmi és versenyjogi engedéllyel rendelkezik, amely a működéshez szükséges; </w:t>
      </w:r>
    </w:p>
    <w:p w14:paraId="4C65EDCC" w14:textId="43F261EC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>üzleti és pénzügyi könyveit megfelelően vezetni és minden jelen pontba</w:t>
      </w:r>
      <w:r w:rsidR="00CF3B0A">
        <w:rPr>
          <w:szCs w:val="24"/>
        </w:rPr>
        <w:t>n</w:t>
      </w:r>
      <w:r w:rsidRPr="002647F7">
        <w:rPr>
          <w:szCs w:val="24"/>
        </w:rPr>
        <w:t xml:space="preserve"> </w:t>
      </w:r>
      <w:proofErr w:type="spellStart"/>
      <w:r w:rsidRPr="002647F7">
        <w:rPr>
          <w:szCs w:val="24"/>
        </w:rPr>
        <w:t>felsoroltakkal</w:t>
      </w:r>
      <w:proofErr w:type="spellEnd"/>
      <w:r w:rsidRPr="002647F7">
        <w:rPr>
          <w:szCs w:val="24"/>
        </w:rPr>
        <w:t xml:space="preserve"> kapcsolatos dokumentumot ellenőrzés céljából a Származékos Kölcsönszerződés szerinti utolsó tőketörlesztési napot követő 5 évig megőrizni;</w:t>
      </w:r>
    </w:p>
    <w:p w14:paraId="7D60931B" w14:textId="77777777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>a Származékos Kölcsönt előtörleszteni, amennyiben megsérti a jelen pontba foglalt bármely kötelezettséget;</w:t>
      </w:r>
    </w:p>
    <w:p w14:paraId="7CF87781" w14:textId="77777777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>a Származékos Kölcsön folyósítására egy olyan, az Ügyfél javára megnyitott fizetési számlát megjelölni, amelyet az Ügyfél illetősége szerinti vagy a Származékos Kölcsön felhasználásának helye szerinti megfelelő engedéllyel rendelkező hitelintézet vezet;</w:t>
      </w:r>
    </w:p>
    <w:p w14:paraId="630D8413" w14:textId="77777777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>ésszerű időn belül gondoskodni arról, hogy amennyiben az Ügyfél bármely vezető tisztségviselőjével szemben tisztségével összefüggésben jogerős és végrehajtható bírósági döntés születik bűncselekmény elkövetése miatt, az érintett vezető tisztségviselő kizárásra kerüljön a Származékos Kölcsönszerződéssel finanszírozott tevékenység gyakorlásából;</w:t>
      </w:r>
    </w:p>
    <w:p w14:paraId="1890C29E" w14:textId="66CB9432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>haladéktalanul értesíteni a Bankot, amennyiben a fenti (</w:t>
      </w:r>
      <w:r w:rsidR="00E054DF">
        <w:rPr>
          <w:szCs w:val="24"/>
        </w:rPr>
        <w:t>p</w:t>
      </w:r>
      <w:r w:rsidRPr="002647F7">
        <w:rPr>
          <w:szCs w:val="24"/>
        </w:rPr>
        <w:t>) pontba foglaltak alkalmazására kerül sor;</w:t>
      </w:r>
    </w:p>
    <w:p w14:paraId="0486E897" w14:textId="77777777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>haladéktalanul értesíteni a Bankot, amennyiben bűncselekmény gyanúja merül fel az Ügyféllel összefüggésben;</w:t>
      </w:r>
    </w:p>
    <w:p w14:paraId="74C378BD" w14:textId="77777777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>az Európai Beruházási Bank rendelkezésére bocsátani minden szükséges információt és dokumentumot, amely a fentiekben részletezett kötelezettségvállalások kapcsán szükségesek;</w:t>
      </w:r>
    </w:p>
    <w:p w14:paraId="09FBD716" w14:textId="77777777" w:rsidR="00F24147" w:rsidRPr="002647F7" w:rsidRDefault="00F24147" w:rsidP="00F24147">
      <w:pPr>
        <w:pStyle w:val="Szvegtrzsbehzssal"/>
        <w:widowControl w:val="0"/>
        <w:numPr>
          <w:ilvl w:val="0"/>
          <w:numId w:val="1"/>
        </w:numPr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before="120"/>
        <w:textAlignment w:val="baseline"/>
        <w:rPr>
          <w:szCs w:val="24"/>
        </w:rPr>
      </w:pPr>
      <w:r w:rsidRPr="002647F7">
        <w:rPr>
          <w:szCs w:val="24"/>
        </w:rPr>
        <w:t xml:space="preserve">a Bank, illetve az </w:t>
      </w:r>
      <w:proofErr w:type="spellStart"/>
      <w:r w:rsidRPr="002647F7">
        <w:rPr>
          <w:szCs w:val="24"/>
        </w:rPr>
        <w:t>Eximbank</w:t>
      </w:r>
      <w:proofErr w:type="spellEnd"/>
      <w:r w:rsidRPr="002647F7">
        <w:rPr>
          <w:szCs w:val="24"/>
        </w:rPr>
        <w:t xml:space="preserve"> rendelkezésére bocsátani minden olyan információt és dokumentumot, amelyek szükségesek ahhoz, hogy az </w:t>
      </w:r>
      <w:proofErr w:type="spellStart"/>
      <w:r w:rsidRPr="002647F7">
        <w:rPr>
          <w:szCs w:val="24"/>
        </w:rPr>
        <w:t>Eximbank</w:t>
      </w:r>
      <w:proofErr w:type="spellEnd"/>
      <w:r w:rsidRPr="002647F7">
        <w:rPr>
          <w:szCs w:val="24"/>
        </w:rPr>
        <w:t xml:space="preserve"> az Európai Beruházási Bankkal kötött hitelkeretszerződésbe foglalt adatszolgáltatási kötelezettségének eleget tegyen.</w:t>
      </w:r>
    </w:p>
    <w:p w14:paraId="1D77142D" w14:textId="77777777" w:rsidR="008770F3" w:rsidRPr="008770F3" w:rsidRDefault="008770F3" w:rsidP="008770F3">
      <w:pPr>
        <w:widowControl w:val="0"/>
        <w:tabs>
          <w:tab w:val="left" w:pos="1418"/>
        </w:tabs>
        <w:spacing w:before="120"/>
        <w:ind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0F3">
        <w:rPr>
          <w:rFonts w:ascii="Times New Roman" w:hAnsi="Times New Roman" w:cs="Times New Roman"/>
          <w:color w:val="000000"/>
          <w:sz w:val="24"/>
          <w:szCs w:val="24"/>
        </w:rPr>
        <w:t xml:space="preserve">Alulírottak, kijelentjük továbbá, hogy tudomással bírunk arról, hogy az </w:t>
      </w:r>
      <w:proofErr w:type="spellStart"/>
      <w:r w:rsidRPr="008770F3">
        <w:rPr>
          <w:rFonts w:ascii="Times New Roman" w:hAnsi="Times New Roman" w:cs="Times New Roman"/>
          <w:color w:val="000000"/>
          <w:sz w:val="24"/>
          <w:szCs w:val="24"/>
        </w:rPr>
        <w:t>Eximbank</w:t>
      </w:r>
      <w:proofErr w:type="spellEnd"/>
      <w:r w:rsidRPr="008770F3">
        <w:rPr>
          <w:rFonts w:ascii="Times New Roman" w:hAnsi="Times New Roman" w:cs="Times New Roman"/>
          <w:color w:val="000000"/>
          <w:sz w:val="24"/>
          <w:szCs w:val="24"/>
        </w:rPr>
        <w:t xml:space="preserve"> és az Európai </w:t>
      </w:r>
      <w:r>
        <w:rPr>
          <w:rFonts w:ascii="Times New Roman" w:hAnsi="Times New Roman" w:cs="Times New Roman"/>
          <w:color w:val="000000"/>
          <w:sz w:val="24"/>
          <w:szCs w:val="24"/>
        </w:rPr>
        <w:t>Beruházási</w:t>
      </w:r>
      <w:r w:rsidRPr="008770F3">
        <w:rPr>
          <w:rFonts w:ascii="Times New Roman" w:hAnsi="Times New Roman" w:cs="Times New Roman"/>
          <w:color w:val="000000"/>
          <w:sz w:val="24"/>
          <w:szCs w:val="24"/>
        </w:rPr>
        <w:t xml:space="preserve"> Bank között létrejött hitelkeret-szerződés alapján az </w:t>
      </w:r>
      <w:proofErr w:type="spellStart"/>
      <w:r w:rsidRPr="008770F3">
        <w:rPr>
          <w:rFonts w:ascii="Times New Roman" w:hAnsi="Times New Roman" w:cs="Times New Roman"/>
          <w:color w:val="000000"/>
          <w:sz w:val="24"/>
          <w:szCs w:val="24"/>
        </w:rPr>
        <w:t>Eximbankot</w:t>
      </w:r>
      <w:proofErr w:type="spellEnd"/>
      <w:r w:rsidRPr="008770F3">
        <w:rPr>
          <w:rFonts w:ascii="Times New Roman" w:hAnsi="Times New Roman" w:cs="Times New Roman"/>
          <w:color w:val="000000"/>
          <w:sz w:val="24"/>
          <w:szCs w:val="24"/>
        </w:rPr>
        <w:t xml:space="preserve"> információ- és adatszolgáltatási kötelezettség terheli, illetve terhelheti az Ügyfelet illetően.</w:t>
      </w:r>
    </w:p>
    <w:p w14:paraId="7C4DCA20" w14:textId="77777777" w:rsidR="008770F3" w:rsidRPr="008770F3" w:rsidRDefault="008770F3" w:rsidP="008770F3">
      <w:pPr>
        <w:widowControl w:val="0"/>
        <w:tabs>
          <w:tab w:val="left" w:pos="1418"/>
        </w:tabs>
        <w:spacing w:before="120"/>
        <w:ind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0F3">
        <w:rPr>
          <w:rFonts w:ascii="Times New Roman" w:hAnsi="Times New Roman" w:cs="Times New Roman"/>
          <w:color w:val="000000"/>
          <w:sz w:val="24"/>
          <w:szCs w:val="24"/>
        </w:rPr>
        <w:t>A hitelintézetekről és a pénzügyi vállalkozásokról szóló 2</w:t>
      </w:r>
      <w:r w:rsidR="001664C7">
        <w:rPr>
          <w:rFonts w:ascii="Times New Roman" w:hAnsi="Times New Roman" w:cs="Times New Roman"/>
          <w:color w:val="000000"/>
          <w:sz w:val="24"/>
          <w:szCs w:val="24"/>
        </w:rPr>
        <w:t xml:space="preserve">013. évi CCXXXVII. törvény 161.§ </w:t>
      </w:r>
      <w:r w:rsidRPr="008770F3">
        <w:rPr>
          <w:rFonts w:ascii="Times New Roman" w:hAnsi="Times New Roman" w:cs="Times New Roman"/>
          <w:color w:val="000000"/>
          <w:sz w:val="24"/>
          <w:szCs w:val="24"/>
        </w:rPr>
        <w:t xml:space="preserve">(1) bekezdésének a) pontja értelmében ezennel hozzájárulok ahhoz, hogy az </w:t>
      </w:r>
      <w:proofErr w:type="spellStart"/>
      <w:r w:rsidRPr="008770F3">
        <w:rPr>
          <w:rFonts w:ascii="Times New Roman" w:hAnsi="Times New Roman" w:cs="Times New Roman"/>
          <w:color w:val="000000"/>
          <w:sz w:val="24"/>
          <w:szCs w:val="24"/>
        </w:rPr>
        <w:t>Eximbank</w:t>
      </w:r>
      <w:proofErr w:type="spellEnd"/>
      <w:r w:rsidRPr="008770F3">
        <w:rPr>
          <w:rFonts w:ascii="Times New Roman" w:hAnsi="Times New Roman" w:cs="Times New Roman"/>
          <w:color w:val="000000"/>
          <w:sz w:val="24"/>
          <w:szCs w:val="24"/>
        </w:rPr>
        <w:t xml:space="preserve"> az Ügyféllel összefüggésben az </w:t>
      </w:r>
      <w:proofErr w:type="spellStart"/>
      <w:r w:rsidRPr="008770F3">
        <w:rPr>
          <w:rFonts w:ascii="Times New Roman" w:hAnsi="Times New Roman" w:cs="Times New Roman"/>
          <w:color w:val="000000"/>
          <w:sz w:val="24"/>
          <w:szCs w:val="24"/>
        </w:rPr>
        <w:t>Eximbank</w:t>
      </w:r>
      <w:proofErr w:type="spellEnd"/>
      <w:r w:rsidRPr="008770F3">
        <w:rPr>
          <w:rFonts w:ascii="Times New Roman" w:hAnsi="Times New Roman" w:cs="Times New Roman"/>
          <w:color w:val="000000"/>
          <w:sz w:val="24"/>
          <w:szCs w:val="24"/>
        </w:rPr>
        <w:t xml:space="preserve"> rendelkezésére álló, tudomására jutott banktitkot, illetve üzleti titkot képező tényt, információt, megoldást vagy adatot (így különösen az Ügyfél </w:t>
      </w:r>
      <w:r w:rsidRPr="008770F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adataira, vagyoni és pénzügyi helyzetére, üzleti tevékenységére, gazdálkodására, tulajdonosi, üzleti kapcsolataira vonatkozó tényt, információt, megoldást vagy adatot) korlátozásmentesen az Európai </w:t>
      </w:r>
      <w:r w:rsidR="001664C7">
        <w:rPr>
          <w:rFonts w:ascii="Times New Roman" w:hAnsi="Times New Roman" w:cs="Times New Roman"/>
          <w:color w:val="000000"/>
          <w:sz w:val="24"/>
          <w:szCs w:val="24"/>
        </w:rPr>
        <w:t>Beruházási</w:t>
      </w:r>
      <w:r w:rsidRPr="008770F3">
        <w:rPr>
          <w:rFonts w:ascii="Times New Roman" w:hAnsi="Times New Roman" w:cs="Times New Roman"/>
          <w:color w:val="000000"/>
          <w:sz w:val="24"/>
          <w:szCs w:val="24"/>
        </w:rPr>
        <w:t xml:space="preserve"> Bank tudomására hozza és – az erre irányuló kifejezett kérelemre – a Származékos Kölcsönszerződést részére megküldje. Az adatok, információk felhasználási célja az </w:t>
      </w:r>
      <w:proofErr w:type="spellStart"/>
      <w:r w:rsidRPr="008770F3">
        <w:rPr>
          <w:rFonts w:ascii="Times New Roman" w:hAnsi="Times New Roman" w:cs="Times New Roman"/>
          <w:color w:val="000000"/>
          <w:sz w:val="24"/>
          <w:szCs w:val="24"/>
        </w:rPr>
        <w:t>Eximbank</w:t>
      </w:r>
      <w:proofErr w:type="spellEnd"/>
      <w:r w:rsidRPr="008770F3">
        <w:rPr>
          <w:rFonts w:ascii="Times New Roman" w:hAnsi="Times New Roman" w:cs="Times New Roman"/>
          <w:color w:val="000000"/>
          <w:sz w:val="24"/>
          <w:szCs w:val="24"/>
        </w:rPr>
        <w:t xml:space="preserve"> információ- és adatszolgáltatási kötelezettségének teljesítése az Európai </w:t>
      </w:r>
      <w:r w:rsidR="001664C7">
        <w:rPr>
          <w:rFonts w:ascii="Times New Roman" w:hAnsi="Times New Roman" w:cs="Times New Roman"/>
          <w:color w:val="000000"/>
          <w:sz w:val="24"/>
          <w:szCs w:val="24"/>
        </w:rPr>
        <w:t>Beruházási</w:t>
      </w:r>
      <w:r w:rsidRPr="008770F3">
        <w:rPr>
          <w:rFonts w:ascii="Times New Roman" w:hAnsi="Times New Roman" w:cs="Times New Roman"/>
          <w:color w:val="000000"/>
          <w:sz w:val="24"/>
          <w:szCs w:val="24"/>
        </w:rPr>
        <w:t xml:space="preserve"> Bank irányába.</w:t>
      </w:r>
    </w:p>
    <w:p w14:paraId="3873678B" w14:textId="1EFD58A5" w:rsidR="00F24147" w:rsidRPr="002647F7" w:rsidRDefault="00F24147" w:rsidP="00F24147">
      <w:pPr>
        <w:rPr>
          <w:rFonts w:ascii="Times New Roman" w:hAnsi="Times New Roman" w:cs="Times New Roman"/>
          <w:sz w:val="24"/>
          <w:szCs w:val="24"/>
        </w:rPr>
      </w:pPr>
      <w:r w:rsidRPr="002647F7">
        <w:rPr>
          <w:rFonts w:ascii="Times New Roman" w:hAnsi="Times New Roman" w:cs="Times New Roman"/>
          <w:sz w:val="24"/>
          <w:szCs w:val="24"/>
        </w:rPr>
        <w:t xml:space="preserve">Kelt: ____________, </w:t>
      </w:r>
      <w:r w:rsidR="00E36023" w:rsidRPr="002647F7">
        <w:rPr>
          <w:rFonts w:ascii="Times New Roman" w:hAnsi="Times New Roman" w:cs="Times New Roman"/>
          <w:sz w:val="24"/>
          <w:szCs w:val="24"/>
        </w:rPr>
        <w:t>20</w:t>
      </w:r>
      <w:r w:rsidR="00E36023">
        <w:rPr>
          <w:rFonts w:ascii="Times New Roman" w:hAnsi="Times New Roman" w:cs="Times New Roman"/>
          <w:sz w:val="24"/>
          <w:szCs w:val="24"/>
        </w:rPr>
        <w:t>2</w:t>
      </w:r>
      <w:r w:rsidRPr="002647F7">
        <w:rPr>
          <w:rFonts w:ascii="Times New Roman" w:hAnsi="Times New Roman" w:cs="Times New Roman"/>
          <w:sz w:val="24"/>
          <w:szCs w:val="24"/>
        </w:rPr>
        <w:t>_. ___________ __.</w:t>
      </w:r>
      <w:r w:rsidRPr="002647F7">
        <w:rPr>
          <w:rFonts w:ascii="Times New Roman" w:hAnsi="Times New Roman" w:cs="Times New Roman"/>
          <w:sz w:val="24"/>
          <w:szCs w:val="24"/>
        </w:rPr>
        <w:tab/>
      </w:r>
      <w:r w:rsidRPr="002647F7">
        <w:rPr>
          <w:rFonts w:ascii="Times New Roman" w:hAnsi="Times New Roman" w:cs="Times New Roman"/>
          <w:sz w:val="24"/>
          <w:szCs w:val="24"/>
        </w:rPr>
        <w:tab/>
      </w:r>
      <w:r w:rsidRPr="002647F7">
        <w:rPr>
          <w:rFonts w:ascii="Times New Roman" w:hAnsi="Times New Roman" w:cs="Times New Roman"/>
          <w:sz w:val="24"/>
          <w:szCs w:val="24"/>
        </w:rPr>
        <w:tab/>
      </w:r>
    </w:p>
    <w:p w14:paraId="3E580BD9" w14:textId="77777777" w:rsidR="00F24147" w:rsidRPr="002647F7" w:rsidRDefault="00F24147" w:rsidP="00F24147">
      <w:pPr>
        <w:pStyle w:val="Szvegtrzs"/>
        <w:rPr>
          <w:rFonts w:ascii="Times New Roman" w:hAnsi="Times New Roman"/>
          <w:sz w:val="24"/>
          <w:szCs w:val="24"/>
        </w:rPr>
      </w:pP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  <w:t xml:space="preserve">      </w:t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  <w:t>____________________</w:t>
      </w:r>
    </w:p>
    <w:p w14:paraId="52CB6131" w14:textId="77777777" w:rsidR="00F24147" w:rsidRPr="002647F7" w:rsidRDefault="00F24147" w:rsidP="00F24147">
      <w:pPr>
        <w:pStyle w:val="Szvegtrzs"/>
        <w:rPr>
          <w:rFonts w:ascii="Times New Roman" w:hAnsi="Times New Roman"/>
          <w:sz w:val="24"/>
          <w:szCs w:val="24"/>
        </w:rPr>
      </w:pP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  <w:t>(Ügyfél cégszerű aláírása)</w:t>
      </w:r>
    </w:p>
    <w:p w14:paraId="79EA85C7" w14:textId="7AC42FA1" w:rsidR="00246042" w:rsidRPr="002647F7" w:rsidRDefault="00F24147" w:rsidP="00C77E7B">
      <w:pPr>
        <w:pStyle w:val="Szvegtrzs"/>
        <w:rPr>
          <w:rFonts w:ascii="Times New Roman" w:hAnsi="Times New Roman"/>
          <w:sz w:val="24"/>
          <w:szCs w:val="24"/>
        </w:rPr>
      </w:pP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</w:r>
      <w:r w:rsidRPr="002647F7">
        <w:rPr>
          <w:rFonts w:ascii="Times New Roman" w:hAnsi="Times New Roman"/>
          <w:sz w:val="24"/>
          <w:szCs w:val="24"/>
        </w:rPr>
        <w:tab/>
        <w:t xml:space="preserve">         (beosztása)</w:t>
      </w:r>
    </w:p>
    <w:sectPr w:rsidR="00246042" w:rsidRPr="002647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466A8" w14:textId="77777777" w:rsidR="003D426E" w:rsidRDefault="003D426E" w:rsidP="003D426E">
      <w:pPr>
        <w:spacing w:after="0" w:line="240" w:lineRule="auto"/>
      </w:pPr>
      <w:r>
        <w:separator/>
      </w:r>
    </w:p>
  </w:endnote>
  <w:endnote w:type="continuationSeparator" w:id="0">
    <w:p w14:paraId="21431A1E" w14:textId="77777777" w:rsidR="003D426E" w:rsidRDefault="003D426E" w:rsidP="003D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-Times New 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5304129"/>
      <w:docPartObj>
        <w:docPartGallery w:val="Page Numbers (Bottom of Page)"/>
        <w:docPartUnique/>
      </w:docPartObj>
    </w:sdtPr>
    <w:sdtEndPr/>
    <w:sdtContent>
      <w:p w14:paraId="6041357E" w14:textId="6D38A232" w:rsidR="003D426E" w:rsidRDefault="003D426E" w:rsidP="00A4393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89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E16FD" w14:textId="77777777" w:rsidR="003D426E" w:rsidRDefault="003D426E" w:rsidP="003D426E">
      <w:pPr>
        <w:spacing w:after="0" w:line="240" w:lineRule="auto"/>
      </w:pPr>
      <w:r>
        <w:separator/>
      </w:r>
    </w:p>
  </w:footnote>
  <w:footnote w:type="continuationSeparator" w:id="0">
    <w:p w14:paraId="71B4B72E" w14:textId="77777777" w:rsidR="003D426E" w:rsidRDefault="003D426E" w:rsidP="003D426E">
      <w:pPr>
        <w:spacing w:after="0" w:line="240" w:lineRule="auto"/>
      </w:pPr>
      <w:r>
        <w:continuationSeparator/>
      </w:r>
    </w:p>
  </w:footnote>
  <w:footnote w:id="1">
    <w:p w14:paraId="6492B376" w14:textId="77777777" w:rsidR="00164693" w:rsidRPr="00EB1483" w:rsidRDefault="00164693" w:rsidP="00164693">
      <w:pPr>
        <w:tabs>
          <w:tab w:val="left" w:pos="7763"/>
          <w:tab w:val="right" w:pos="9072"/>
        </w:tabs>
        <w:rPr>
          <w:sz w:val="2"/>
          <w:lang w:val="en-US"/>
        </w:rPr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Pr="00981A5A">
          <w:rPr>
            <w:rStyle w:val="Hiperhivatkozs"/>
            <w:rFonts w:ascii="Garamond" w:hAnsi="Garamond"/>
            <w:sz w:val="20"/>
            <w:lang w:val="en-US"/>
          </w:rPr>
          <w:t>http://www.eib.org/attachments/strategies/environmental_and_social_practices_handbook_en.pdf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45596"/>
    <w:multiLevelType w:val="hybridMultilevel"/>
    <w:tmpl w:val="6CC41C0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8244E4"/>
    <w:multiLevelType w:val="hybridMultilevel"/>
    <w:tmpl w:val="335E078A"/>
    <w:lvl w:ilvl="0" w:tplc="0B88A6C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47"/>
    <w:rsid w:val="00020902"/>
    <w:rsid w:val="00026B0D"/>
    <w:rsid w:val="00064C3C"/>
    <w:rsid w:val="00077473"/>
    <w:rsid w:val="00080A90"/>
    <w:rsid w:val="000811BD"/>
    <w:rsid w:val="000A1838"/>
    <w:rsid w:val="000D22D0"/>
    <w:rsid w:val="000D72C3"/>
    <w:rsid w:val="0011707B"/>
    <w:rsid w:val="00164693"/>
    <w:rsid w:val="001655EE"/>
    <w:rsid w:val="001664C7"/>
    <w:rsid w:val="00171BCE"/>
    <w:rsid w:val="001E0E98"/>
    <w:rsid w:val="00210FC9"/>
    <w:rsid w:val="00230D94"/>
    <w:rsid w:val="00246042"/>
    <w:rsid w:val="00256222"/>
    <w:rsid w:val="002647F7"/>
    <w:rsid w:val="002713D9"/>
    <w:rsid w:val="00275715"/>
    <w:rsid w:val="002C673A"/>
    <w:rsid w:val="00314735"/>
    <w:rsid w:val="00317DE3"/>
    <w:rsid w:val="003246A0"/>
    <w:rsid w:val="00340EE1"/>
    <w:rsid w:val="00343B0B"/>
    <w:rsid w:val="00351A59"/>
    <w:rsid w:val="00353FF6"/>
    <w:rsid w:val="00393C64"/>
    <w:rsid w:val="0039714C"/>
    <w:rsid w:val="003B389F"/>
    <w:rsid w:val="003D426E"/>
    <w:rsid w:val="003E5C83"/>
    <w:rsid w:val="0042639A"/>
    <w:rsid w:val="0046401F"/>
    <w:rsid w:val="004642CA"/>
    <w:rsid w:val="00496760"/>
    <w:rsid w:val="004D0E8A"/>
    <w:rsid w:val="004D48B8"/>
    <w:rsid w:val="004F1259"/>
    <w:rsid w:val="00524EBD"/>
    <w:rsid w:val="005357CD"/>
    <w:rsid w:val="005A4AAA"/>
    <w:rsid w:val="005A5B2A"/>
    <w:rsid w:val="00641D52"/>
    <w:rsid w:val="006E4DF1"/>
    <w:rsid w:val="00746A95"/>
    <w:rsid w:val="007C1000"/>
    <w:rsid w:val="00836F0E"/>
    <w:rsid w:val="008675CD"/>
    <w:rsid w:val="008770F3"/>
    <w:rsid w:val="008A0B13"/>
    <w:rsid w:val="008E76DF"/>
    <w:rsid w:val="008F2521"/>
    <w:rsid w:val="0091465E"/>
    <w:rsid w:val="009A5FC4"/>
    <w:rsid w:val="009A7EA8"/>
    <w:rsid w:val="009B4D36"/>
    <w:rsid w:val="00A13DF0"/>
    <w:rsid w:val="00A43937"/>
    <w:rsid w:val="00A45774"/>
    <w:rsid w:val="00A55304"/>
    <w:rsid w:val="00A67DF0"/>
    <w:rsid w:val="00A97252"/>
    <w:rsid w:val="00AB0A2D"/>
    <w:rsid w:val="00AB5824"/>
    <w:rsid w:val="00AC6413"/>
    <w:rsid w:val="00AF3EA7"/>
    <w:rsid w:val="00B00B4D"/>
    <w:rsid w:val="00B010F0"/>
    <w:rsid w:val="00B3334C"/>
    <w:rsid w:val="00B778CB"/>
    <w:rsid w:val="00B978DF"/>
    <w:rsid w:val="00BE33E0"/>
    <w:rsid w:val="00BE37B4"/>
    <w:rsid w:val="00C00340"/>
    <w:rsid w:val="00C23389"/>
    <w:rsid w:val="00C459E5"/>
    <w:rsid w:val="00C77E7B"/>
    <w:rsid w:val="00CF3B0A"/>
    <w:rsid w:val="00CF56F9"/>
    <w:rsid w:val="00D00D2D"/>
    <w:rsid w:val="00D24B98"/>
    <w:rsid w:val="00D455B3"/>
    <w:rsid w:val="00D5079A"/>
    <w:rsid w:val="00D730A3"/>
    <w:rsid w:val="00D8248F"/>
    <w:rsid w:val="00D846D2"/>
    <w:rsid w:val="00D90801"/>
    <w:rsid w:val="00D94A7E"/>
    <w:rsid w:val="00DF1616"/>
    <w:rsid w:val="00E054DF"/>
    <w:rsid w:val="00E27995"/>
    <w:rsid w:val="00E36023"/>
    <w:rsid w:val="00E513B6"/>
    <w:rsid w:val="00EE4BC8"/>
    <w:rsid w:val="00F13947"/>
    <w:rsid w:val="00F24147"/>
    <w:rsid w:val="00F2575C"/>
    <w:rsid w:val="00F33EEA"/>
    <w:rsid w:val="00FC4320"/>
    <w:rsid w:val="00F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4A304B"/>
  <w15:docId w15:val="{2E499211-7C65-4851-B4A4-2F0043DE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41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rsid w:val="00F2414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2414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F24147"/>
    <w:pPr>
      <w:spacing w:after="0" w:line="240" w:lineRule="auto"/>
      <w:jc w:val="both"/>
    </w:pPr>
    <w:rPr>
      <w:rFonts w:ascii="H-Times New Roman" w:eastAsia="Times New Roman" w:hAnsi="H-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24147"/>
    <w:rPr>
      <w:rFonts w:ascii="H-Times New Roman" w:eastAsia="Times New Roman" w:hAnsi="H-Times New Roman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D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426E"/>
  </w:style>
  <w:style w:type="paragraph" w:styleId="llb">
    <w:name w:val="footer"/>
    <w:basedOn w:val="Norml"/>
    <w:link w:val="llbChar"/>
    <w:uiPriority w:val="99"/>
    <w:unhideWhenUsed/>
    <w:rsid w:val="003D4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426E"/>
  </w:style>
  <w:style w:type="paragraph" w:styleId="Buborkszveg">
    <w:name w:val="Balloon Text"/>
    <w:basedOn w:val="Norml"/>
    <w:link w:val="BuborkszvegChar"/>
    <w:uiPriority w:val="99"/>
    <w:semiHidden/>
    <w:unhideWhenUsed/>
    <w:rsid w:val="003D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26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770F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F3EA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F3EA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F3EA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3EA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3EA7"/>
    <w:rPr>
      <w:b/>
      <w:bCs/>
      <w:sz w:val="20"/>
      <w:szCs w:val="20"/>
    </w:rPr>
  </w:style>
  <w:style w:type="character" w:styleId="Lbjegyzet-hivatkozs">
    <w:name w:val="footnote reference"/>
    <w:aliases w:val="ftref"/>
    <w:basedOn w:val="Bekezdsalapbettpusa"/>
    <w:uiPriority w:val="99"/>
    <w:rsid w:val="00164693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164693"/>
    <w:rPr>
      <w:strike w:val="0"/>
      <w:dstrike w:val="0"/>
      <w:color w:val="0072BC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b.org/attachments/strategies/environmental_and_social_practices_handbook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CBF195569320D4D9C724CC2E4DA6782" ma:contentTypeVersion="2" ma:contentTypeDescription="Új dokumentum létrehozása." ma:contentTypeScope="" ma:versionID="9653a1ce25d8af524562da75443ac4bb">
  <xsd:schema xmlns:xsd="http://www.w3.org/2001/XMLSchema" xmlns:xs="http://www.w3.org/2001/XMLSchema" xmlns:p="http://schemas.microsoft.com/office/2006/metadata/properties" xmlns:ns2="b7cf37d0-08b4-4276-a4c6-69bd6952a986" targetNamespace="http://schemas.microsoft.com/office/2006/metadata/properties" ma:root="true" ma:fieldsID="81f10a05384d3b860c7a05d63d229f30" ns2:_="">
    <xsd:import namespace="b7cf37d0-08b4-4276-a4c6-69bd6952a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f37d0-08b4-4276-a4c6-69bd6952a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7A480-538A-4787-9731-658D7DCF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3382B-F810-43EC-8C8A-E8B27F8C8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f37d0-08b4-4276-a4c6-69bd6952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3D23F-83AE-4390-BB96-8217D92C135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7cf37d0-08b4-4276-a4c6-69bd6952a98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8195</Characters>
  <Application>Microsoft Office Word</Application>
  <DocSecurity>0</DocSecurity>
  <Lines>68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Útmutató melléklet</vt:lpstr>
      <vt:lpstr/>
    </vt:vector>
  </TitlesOfParts>
  <Company>EXIM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Útmutató melléklet</dc:title>
  <dc:creator>Gyetvainé Horváth Mária</dc:creator>
  <cp:lastModifiedBy>Ferencz Ildikó</cp:lastModifiedBy>
  <cp:revision>2</cp:revision>
  <dcterms:created xsi:type="dcterms:W3CDTF">2024-03-26T15:07:00Z</dcterms:created>
  <dcterms:modified xsi:type="dcterms:W3CDTF">2024-03-26T15:07:00Z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0x010100BCBF195569320D4D9C724CC2E4DA6782</vt:lpwstr>
  </property>
</Properties>
</file>