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DF598" w14:textId="77777777" w:rsidR="001564EC" w:rsidRPr="00E7058F" w:rsidRDefault="001564EC" w:rsidP="001564EC">
      <w:pPr>
        <w:pStyle w:val="Szvegtrzs"/>
        <w:widowControl w:val="0"/>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imes New Roman" w:hAnsi="Times New Roman"/>
          <w:b/>
          <w:smallCaps/>
          <w:sz w:val="24"/>
          <w:szCs w:val="24"/>
        </w:rPr>
      </w:pPr>
      <w:bookmarkStart w:id="0" w:name="_GoBack"/>
      <w:bookmarkEnd w:id="0"/>
      <w:r w:rsidRPr="00E7058F">
        <w:rPr>
          <w:rFonts w:ascii="Times New Roman" w:hAnsi="Times New Roman"/>
          <w:b/>
          <w:smallCaps/>
          <w:sz w:val="24"/>
          <w:szCs w:val="24"/>
        </w:rPr>
        <w:t xml:space="preserve">CEB tudomásulvételi </w:t>
      </w:r>
      <w:r w:rsidR="00272969">
        <w:rPr>
          <w:rFonts w:ascii="Times New Roman" w:hAnsi="Times New Roman"/>
          <w:b/>
          <w:smallCaps/>
          <w:sz w:val="24"/>
          <w:szCs w:val="24"/>
        </w:rPr>
        <w:t>és banktitok alóli felmentő nyilatkozat</w:t>
      </w:r>
      <w:r w:rsidRPr="00E7058F">
        <w:rPr>
          <w:rStyle w:val="Lbjegyzet-hivatkozs"/>
          <w:b/>
          <w:smallCaps/>
          <w:szCs w:val="24"/>
        </w:rPr>
        <w:footnoteReference w:id="1"/>
      </w:r>
    </w:p>
    <w:p w14:paraId="2822B104" w14:textId="601280C5" w:rsidR="001564EC" w:rsidRDefault="001564EC" w:rsidP="001564EC">
      <w:pPr>
        <w:ind w:right="283"/>
        <w:jc w:val="center"/>
        <w:rPr>
          <w:rFonts w:ascii="Times New Roman" w:hAnsi="Times New Roman" w:cs="Times New Roman"/>
          <w:i/>
          <w:sz w:val="24"/>
          <w:szCs w:val="24"/>
        </w:rPr>
      </w:pPr>
      <w:r w:rsidRPr="00E7058F">
        <w:rPr>
          <w:rFonts w:ascii="Times New Roman" w:hAnsi="Times New Roman" w:cs="Times New Roman"/>
          <w:i/>
          <w:sz w:val="24"/>
          <w:szCs w:val="24"/>
        </w:rPr>
        <w:t>(Ügyfél tölti ki)</w:t>
      </w:r>
    </w:p>
    <w:p w14:paraId="40E2E5D9" w14:textId="77777777" w:rsidR="002D379D" w:rsidRPr="00E7058F" w:rsidRDefault="002D379D" w:rsidP="001564EC">
      <w:pPr>
        <w:ind w:right="283"/>
        <w:jc w:val="center"/>
        <w:rPr>
          <w:rFonts w:ascii="Times New Roman" w:hAnsi="Times New Roman" w:cs="Times New Roman"/>
          <w:i/>
          <w:sz w:val="24"/>
          <w:szCs w:val="24"/>
        </w:rPr>
      </w:pPr>
    </w:p>
    <w:p w14:paraId="55EDABB0" w14:textId="77777777" w:rsidR="001564EC" w:rsidRPr="00E7058F" w:rsidRDefault="001564EC" w:rsidP="001564EC">
      <w:pPr>
        <w:pStyle w:val="Szvegtrzsbehzssal"/>
        <w:widowControl w:val="0"/>
        <w:tabs>
          <w:tab w:val="left" w:pos="1418"/>
        </w:tabs>
        <w:spacing w:before="120"/>
        <w:ind w:left="567"/>
        <w:rPr>
          <w:szCs w:val="24"/>
        </w:rPr>
      </w:pPr>
      <w:r w:rsidRPr="00E7058F">
        <w:rPr>
          <w:szCs w:val="24"/>
        </w:rPr>
        <w:t>Alulírott(ak), mint a …………………………………………(a továbbiakban ”</w:t>
      </w:r>
      <w:r w:rsidRPr="00E7058F">
        <w:rPr>
          <w:b/>
          <w:szCs w:val="24"/>
        </w:rPr>
        <w:t>Ügyfél</w:t>
      </w:r>
      <w:r w:rsidRPr="00E7058F">
        <w:rPr>
          <w:szCs w:val="24"/>
        </w:rPr>
        <w:t>”) képviseletére jogosult(ak) hivatkozással a ................... (a továbbiakban „</w:t>
      </w:r>
      <w:r w:rsidRPr="00E7058F">
        <w:rPr>
          <w:b/>
          <w:szCs w:val="24"/>
        </w:rPr>
        <w:t>Bank</w:t>
      </w:r>
      <w:r w:rsidRPr="00E7058F">
        <w:rPr>
          <w:szCs w:val="24"/>
        </w:rPr>
        <w:t>”) és az Ügyfél között megkötendő Származékos Kölcsönszerződésre, az alábbi nyilatkozatot teszem/tesszük:</w:t>
      </w:r>
    </w:p>
    <w:p w14:paraId="19E0527C" w14:textId="77777777" w:rsidR="001564EC" w:rsidRPr="00E7058F" w:rsidRDefault="001564EC" w:rsidP="001564EC">
      <w:pPr>
        <w:pStyle w:val="Szvegtrzsbehzssal"/>
        <w:widowControl w:val="0"/>
        <w:tabs>
          <w:tab w:val="left" w:pos="1418"/>
        </w:tabs>
        <w:spacing w:before="120"/>
        <w:ind w:left="567"/>
        <w:rPr>
          <w:szCs w:val="24"/>
        </w:rPr>
      </w:pPr>
      <w:r w:rsidRPr="00E7058F">
        <w:rPr>
          <w:szCs w:val="24"/>
        </w:rPr>
        <w:t>Tudomásul bírunk arról, hogy a Bank a Magyar Export-Import Bank Zártkörűen Működő Részvénytársaság (székhely: 1065 Budapest, Nagymező utca 46-48., cégjegyzékszám: 01-10-042594, nyilvántartó cégbíróság: a Fővárosi Törvényszék, mint Cégbíróság) (a továbbiakban: az „</w:t>
      </w:r>
      <w:r w:rsidRPr="00E7058F">
        <w:rPr>
          <w:b/>
          <w:szCs w:val="24"/>
        </w:rPr>
        <w:t>Eximbank</w:t>
      </w:r>
      <w:r w:rsidRPr="00E7058F">
        <w:rPr>
          <w:szCs w:val="24"/>
        </w:rPr>
        <w:t>”) általi refinanszírozás alapján biztosít az Ügyfél részére kedvezményezés árazású kölcsönt a Származékos Kölcsönszerződésbe foglaltak alapján. Fentieken túlmenően a Bank tájékoztatása alapján tudomással bírunk arról, hogy az Európa Tanács Fejlesztési Bank</w:t>
      </w:r>
      <w:r w:rsidR="0034617C">
        <w:rPr>
          <w:szCs w:val="24"/>
        </w:rPr>
        <w:t xml:space="preserve"> (CEB)</w:t>
      </w:r>
      <w:r w:rsidRPr="00E7058F">
        <w:rPr>
          <w:szCs w:val="24"/>
        </w:rPr>
        <w:t xml:space="preserve"> kedvezményes árazású forrást biztosít az Eximbank számára, amely, többek között</w:t>
      </w:r>
      <w:r w:rsidRPr="00BA594F">
        <w:rPr>
          <w:szCs w:val="24"/>
        </w:rPr>
        <w:t>, a Származékos Kölcsönszerződés alapján folyósított kölcsönök közvetlen finanszírozására szolgál, valamint</w:t>
      </w:r>
      <w:r w:rsidRPr="00E7058F">
        <w:rPr>
          <w:szCs w:val="24"/>
        </w:rPr>
        <w:t xml:space="preserve"> </w:t>
      </w:r>
      <w:r w:rsidRPr="00BA594F">
        <w:rPr>
          <w:szCs w:val="24"/>
        </w:rPr>
        <w:t>közvetve lehetőséget biztosít arra, hogy az Ügyfél kedvezményes kölcsönhöz jusson a Származékos Kölcsönszerződés alatt.</w:t>
      </w:r>
    </w:p>
    <w:p w14:paraId="4DC926D4" w14:textId="77777777" w:rsidR="001564EC" w:rsidRPr="00E7058F" w:rsidRDefault="001564EC" w:rsidP="001564EC">
      <w:pPr>
        <w:pStyle w:val="Szvegtrzsbehzssal"/>
        <w:widowControl w:val="0"/>
        <w:tabs>
          <w:tab w:val="left" w:pos="1418"/>
        </w:tabs>
        <w:spacing w:before="120"/>
        <w:ind w:left="567"/>
        <w:rPr>
          <w:szCs w:val="24"/>
        </w:rPr>
      </w:pPr>
      <w:r w:rsidRPr="00E7058F">
        <w:rPr>
          <w:szCs w:val="24"/>
        </w:rPr>
        <w:t>A fentiekre tekintettel nyilatkozunk, hogy a Származékos Kölcsönszerződésben is feltüntetésre kerülő alábbiakban felsorolt kötelezettségeknek maradéktalanul eleget teszünk.</w:t>
      </w:r>
    </w:p>
    <w:p w14:paraId="38E36D4E" w14:textId="77777777" w:rsidR="001564EC" w:rsidRPr="00E7058F" w:rsidRDefault="001564EC" w:rsidP="001564EC">
      <w:pPr>
        <w:pStyle w:val="Szvegtrzsbehzssal"/>
        <w:widowControl w:val="0"/>
        <w:tabs>
          <w:tab w:val="left" w:pos="1418"/>
        </w:tabs>
        <w:spacing w:before="120"/>
        <w:ind w:left="567"/>
        <w:rPr>
          <w:szCs w:val="24"/>
        </w:rPr>
      </w:pPr>
      <w:r w:rsidRPr="00E7058F">
        <w:rPr>
          <w:szCs w:val="24"/>
        </w:rPr>
        <w:t>Az Ügyfél köteles:</w:t>
      </w:r>
    </w:p>
    <w:p w14:paraId="07E51E75"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a Származékos Kölcsönt a Származékos Kölcsönszerződésben foglaltak szerint, a CEB alábbi előírásaival összeegyeztethető célra felhasználni. Ennek megfelelően a Kölcsönt nem lehet személyjellegű ráfordításokra, pénzügyi ráfordításokra, indirekt adókra (pl.: ÁFA) felhasználni;</w:t>
      </w:r>
    </w:p>
    <w:p w14:paraId="7BCE2F2A" w14:textId="06831A0D" w:rsidR="001564EC" w:rsidRPr="00A016EE"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A016EE">
        <w:rPr>
          <w:szCs w:val="24"/>
        </w:rPr>
        <w:t>a CEB előírásaiba nem ütköző gazdasági tevékenységet folytatni. A CEB a következő gazdasági tevékenységek (</w:t>
      </w:r>
      <w:r w:rsidR="00C91647">
        <w:rPr>
          <w:rStyle w:val="y2iqfc"/>
          <w:color w:val="202124"/>
        </w:rPr>
        <w:t>a</w:t>
      </w:r>
      <w:r w:rsidR="00C91647" w:rsidRPr="00A777C4">
        <w:rPr>
          <w:rStyle w:val="y2iqfc"/>
          <w:color w:val="202124"/>
          <w:szCs w:val="24"/>
        </w:rPr>
        <w:t xml:space="preserve">z Európai Unió </w:t>
      </w:r>
      <w:r w:rsidR="00C91647" w:rsidRPr="00837E3E">
        <w:rPr>
          <w:color w:val="000000" w:themeColor="text1"/>
          <w:szCs w:val="24"/>
        </w:rPr>
        <w:t>NACE</w:t>
      </w:r>
      <w:r w:rsidR="00C91647">
        <w:rPr>
          <w:rStyle w:val="y2iqfc"/>
          <w:color w:val="202124"/>
        </w:rPr>
        <w:t xml:space="preserve"> </w:t>
      </w:r>
      <w:r w:rsidR="00C91647" w:rsidRPr="00A777C4">
        <w:rPr>
          <w:rStyle w:val="y2iqfc"/>
          <w:color w:val="202124"/>
          <w:szCs w:val="24"/>
        </w:rPr>
        <w:t xml:space="preserve">nómenklatúrája </w:t>
      </w:r>
      <w:r w:rsidR="00C91647">
        <w:rPr>
          <w:rStyle w:val="y2iqfc"/>
          <w:color w:val="202124"/>
          <w:szCs w:val="24"/>
        </w:rPr>
        <w:t>alapján meghatározva</w:t>
      </w:r>
      <w:r w:rsidRPr="00A016EE">
        <w:rPr>
          <w:szCs w:val="24"/>
        </w:rPr>
        <w:t>) esetében zárja ki finanszírozás nyújtását bányászat, kőfejtés (B)</w:t>
      </w:r>
      <w:r w:rsidR="00031C8D" w:rsidRPr="00A016EE">
        <w:rPr>
          <w:color w:val="000000" w:themeColor="text1"/>
          <w:szCs w:val="24"/>
        </w:rPr>
        <w:t xml:space="preserve"> kivéve 08 egyéb bányászat és kőfejtés (08.1. Kőfejtés-, homok és agyagbányászat; 08.91. vegyi ásvány bányászata; 08.92. tőzegkitermelés; 08.93</w:t>
      </w:r>
      <w:bookmarkStart w:id="1" w:name="OLE_LINK8"/>
      <w:r w:rsidR="00031C8D" w:rsidRPr="00A016EE">
        <w:rPr>
          <w:color w:val="000000" w:themeColor="text1"/>
          <w:szCs w:val="24"/>
        </w:rPr>
        <w:t>. sókitermelés</w:t>
      </w:r>
      <w:r w:rsidRPr="00A016EE">
        <w:rPr>
          <w:szCs w:val="24"/>
        </w:rPr>
        <w:t xml:space="preserve">; desztillált szeszes ital gyártása (C11.01); dohánytermék gyártása (C12); kokszgyártás, </w:t>
      </w:r>
      <w:bookmarkEnd w:id="1"/>
      <w:r w:rsidRPr="00A016EE">
        <w:rPr>
          <w:szCs w:val="24"/>
        </w:rPr>
        <w:t>kőolaj-feldolgozás (C19); nukleáris fűtőanyag gyártása (C24.46); fegyver- lőszergyártás (C25.4); katonai harcjármű gyártása (C30.4); pénzügyi, biztosítási tevékenység (</w:t>
      </w:r>
      <w:r w:rsidR="00C91647" w:rsidRPr="00BC3868">
        <w:rPr>
          <w:color w:val="000000" w:themeColor="text1"/>
          <w:szCs w:val="24"/>
        </w:rPr>
        <w:t>K64-66</w:t>
      </w:r>
      <w:r w:rsidRPr="00A016EE">
        <w:rPr>
          <w:szCs w:val="24"/>
        </w:rPr>
        <w:t>);</w:t>
      </w:r>
      <w:r w:rsidR="00031C8D" w:rsidRPr="00A016EE">
        <w:rPr>
          <w:color w:val="000000" w:themeColor="text1"/>
          <w:szCs w:val="24"/>
        </w:rPr>
        <w:t xml:space="preserve"> ingatlanügyletek (L68);</w:t>
      </w:r>
      <w:r w:rsidRPr="00A016EE">
        <w:rPr>
          <w:szCs w:val="24"/>
        </w:rPr>
        <w:t xml:space="preserve"> szerencsejáték, fogadás (R92);</w:t>
      </w:r>
      <w:r w:rsidR="00031C8D" w:rsidRPr="00A016EE">
        <w:rPr>
          <w:color w:val="000000" w:themeColor="text1"/>
          <w:szCs w:val="24"/>
        </w:rPr>
        <w:t xml:space="preserve"> érdekképviselet (S94); területen kívüli szervezet (U99).</w:t>
      </w:r>
      <w:r w:rsidRPr="00A016EE">
        <w:rPr>
          <w:szCs w:val="24"/>
        </w:rPr>
        <w:t xml:space="preserve"> Továbbá nem nyújtható finanszírozás olyan beruházásra, amely az Európai Unió szabályozása által az egészségre vagy a környezetre ártalmas tartott, illetve </w:t>
      </w:r>
      <w:r w:rsidR="008A7D91">
        <w:rPr>
          <w:szCs w:val="24"/>
        </w:rPr>
        <w:t xml:space="preserve">ha az </w:t>
      </w:r>
      <w:r w:rsidRPr="00A016EE">
        <w:rPr>
          <w:szCs w:val="24"/>
        </w:rPr>
        <w:t xml:space="preserve">pornográfiához kapcsolódik;         </w:t>
      </w:r>
    </w:p>
    <w:p w14:paraId="2FF45518" w14:textId="77777777" w:rsidR="00F01F66" w:rsidRPr="00F01F66" w:rsidRDefault="00F01F66" w:rsidP="00F01F66">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F01F66">
        <w:rPr>
          <w:szCs w:val="24"/>
        </w:rPr>
        <w:t xml:space="preserve">a Származékos Kölcsönt a Származékos Kölcsönszerződésben foglaltak </w:t>
      </w:r>
      <w:r w:rsidRPr="00F01F66">
        <w:rPr>
          <w:szCs w:val="24"/>
        </w:rPr>
        <w:lastRenderedPageBreak/>
        <w:t>szerint felhasználni;</w:t>
      </w:r>
    </w:p>
    <w:p w14:paraId="4B7156DB"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a Származékos Kölcsönt a Származékos Kölcsönszerződésben meghatározott időpontig felhasználni;</w:t>
      </w:r>
    </w:p>
    <w:p w14:paraId="561DE0EE"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az áru és szolgáltatás beszerzéseit, amennyiben alkalmazandó a vonatkozó EU irányelvek betartásával, ennek hiányában a gazdaságosság és hatékonyság elveinek szem előtt tartása mellett lefolytatni, illetve a CEB beszerzésre vonatkozó szabályait betartani;</w:t>
      </w:r>
    </w:p>
    <w:p w14:paraId="534AEE57"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vagyontárgyait megfelelő állapotban megőrizni, fenntartani, illetve az azokhoz szükséges engedélyeket (amennyiben releváns) fenntartani;</w:t>
      </w:r>
    </w:p>
    <w:p w14:paraId="7CA65E50"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 xml:space="preserve">az Európa Tanács Fejlesztési Bank, illetve alkalmazottai vagy megbízottjai számára lehetővé tenni, hogy </w:t>
      </w:r>
    </w:p>
    <w:p w14:paraId="157D13AF" w14:textId="77777777" w:rsidR="001564EC" w:rsidRPr="00E7058F" w:rsidRDefault="001564EC" w:rsidP="001564EC">
      <w:pPr>
        <w:pStyle w:val="Szvegtrzsbehzssal"/>
        <w:widowControl w:val="0"/>
        <w:numPr>
          <w:ilvl w:val="0"/>
          <w:numId w:val="2"/>
        </w:numPr>
        <w:overflowPunct w:val="0"/>
        <w:autoSpaceDE w:val="0"/>
        <w:autoSpaceDN w:val="0"/>
        <w:adjustRightInd w:val="0"/>
        <w:spacing w:before="120"/>
        <w:ind w:left="1701" w:firstLine="0"/>
        <w:textAlignment w:val="baseline"/>
        <w:rPr>
          <w:szCs w:val="24"/>
        </w:rPr>
      </w:pPr>
      <w:r w:rsidRPr="00E7058F">
        <w:rPr>
          <w:szCs w:val="24"/>
        </w:rPr>
        <w:t>az Ügyfél által használt létesítményeket és egyéb munkaterületeket megtekinthessék;</w:t>
      </w:r>
    </w:p>
    <w:p w14:paraId="7A68D459" w14:textId="77777777" w:rsidR="001564EC" w:rsidRPr="00E7058F" w:rsidRDefault="001564EC" w:rsidP="001564EC">
      <w:pPr>
        <w:pStyle w:val="Szvegtrzsbehzssal"/>
        <w:widowControl w:val="0"/>
        <w:numPr>
          <w:ilvl w:val="0"/>
          <w:numId w:val="2"/>
        </w:numPr>
        <w:overflowPunct w:val="0"/>
        <w:autoSpaceDE w:val="0"/>
        <w:autoSpaceDN w:val="0"/>
        <w:adjustRightInd w:val="0"/>
        <w:spacing w:before="120"/>
        <w:ind w:left="1701" w:firstLine="0"/>
        <w:textAlignment w:val="baseline"/>
        <w:rPr>
          <w:szCs w:val="24"/>
        </w:rPr>
      </w:pPr>
      <w:r w:rsidRPr="00E7058F">
        <w:rPr>
          <w:szCs w:val="24"/>
        </w:rPr>
        <w:t>az általuk szükségesnek tartott vizsgálatokat lefolytassák;</w:t>
      </w:r>
    </w:p>
    <w:p w14:paraId="22A747E1" w14:textId="77777777" w:rsidR="001564EC" w:rsidRPr="00E7058F" w:rsidRDefault="001564EC" w:rsidP="001564EC">
      <w:pPr>
        <w:pStyle w:val="Szvegtrzsbehzssal"/>
        <w:widowControl w:val="0"/>
        <w:numPr>
          <w:ilvl w:val="0"/>
          <w:numId w:val="2"/>
        </w:numPr>
        <w:overflowPunct w:val="0"/>
        <w:autoSpaceDE w:val="0"/>
        <w:autoSpaceDN w:val="0"/>
        <w:adjustRightInd w:val="0"/>
        <w:spacing w:before="120"/>
        <w:ind w:left="1701" w:firstLine="0"/>
        <w:textAlignment w:val="baseline"/>
        <w:rPr>
          <w:szCs w:val="24"/>
        </w:rPr>
      </w:pPr>
      <w:r w:rsidRPr="00E7058F">
        <w:rPr>
          <w:szCs w:val="24"/>
        </w:rPr>
        <w:t>az Ügyfél képviselőihez, illetve szerződéses partnereihez kérdéseket intézzenek; és</w:t>
      </w:r>
    </w:p>
    <w:p w14:paraId="067D4BCC" w14:textId="77777777" w:rsidR="001564EC" w:rsidRPr="00E7058F" w:rsidRDefault="001564EC" w:rsidP="001564EC">
      <w:pPr>
        <w:pStyle w:val="Szvegtrzsbehzssal"/>
        <w:widowControl w:val="0"/>
        <w:numPr>
          <w:ilvl w:val="0"/>
          <w:numId w:val="2"/>
        </w:numPr>
        <w:overflowPunct w:val="0"/>
        <w:autoSpaceDE w:val="0"/>
        <w:autoSpaceDN w:val="0"/>
        <w:adjustRightInd w:val="0"/>
        <w:spacing w:before="120"/>
        <w:ind w:left="1701" w:firstLine="0"/>
        <w:textAlignment w:val="baseline"/>
        <w:rPr>
          <w:szCs w:val="24"/>
        </w:rPr>
      </w:pPr>
      <w:r w:rsidRPr="00E7058F">
        <w:rPr>
          <w:szCs w:val="24"/>
        </w:rPr>
        <w:t>az Ügyfél könyveit megtekintsék, valamint azokról az alkalmazandó jogszabályok adta lehetőségek keretein belül másolatokat készítsenek;</w:t>
      </w:r>
    </w:p>
    <w:p w14:paraId="0FD18869" w14:textId="7963EB5F"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a környezetvédelmi jogszabályoknak és a CEB környezetvédelmi előírásainak</w:t>
      </w:r>
      <w:r w:rsidR="0098707F">
        <w:rPr>
          <w:rStyle w:val="Lbjegyzet-hivatkozs"/>
          <w:szCs w:val="24"/>
        </w:rPr>
        <w:footnoteReference w:id="2"/>
      </w:r>
      <w:r w:rsidRPr="00E7058F">
        <w:rPr>
          <w:szCs w:val="24"/>
        </w:rPr>
        <w:t xml:space="preserve"> megfelelni;</w:t>
      </w:r>
    </w:p>
    <w:p w14:paraId="746AD991" w14:textId="2AF8AB7F"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a CEB emberi jogi előírásait, ideértve különösen a</w:t>
      </w:r>
      <w:r w:rsidR="00C91647">
        <w:rPr>
          <w:szCs w:val="24"/>
        </w:rPr>
        <w:t>z</w:t>
      </w:r>
      <w:r w:rsidRPr="00E7058F">
        <w:rPr>
          <w:szCs w:val="24"/>
        </w:rPr>
        <w:t xml:space="preserve"> Emberi Jogok Európai Egyezményét</w:t>
      </w:r>
      <w:r w:rsidRPr="00E7058F">
        <w:rPr>
          <w:rStyle w:val="Lbjegyzet-hivatkozs"/>
          <w:szCs w:val="24"/>
        </w:rPr>
        <w:footnoteReference w:id="3"/>
      </w:r>
      <w:r w:rsidRPr="00E7058F">
        <w:rPr>
          <w:szCs w:val="24"/>
        </w:rPr>
        <w:t>, illetve az Európai Szociális Karta</w:t>
      </w:r>
      <w:r w:rsidRPr="00E7058F">
        <w:rPr>
          <w:rStyle w:val="Lbjegyzet-hivatkozs"/>
          <w:szCs w:val="24"/>
        </w:rPr>
        <w:footnoteReference w:id="4"/>
      </w:r>
      <w:r w:rsidRPr="00E7058F">
        <w:rPr>
          <w:szCs w:val="24"/>
        </w:rPr>
        <w:t xml:space="preserve"> szabályait</w:t>
      </w:r>
      <w:r w:rsidR="00C91647">
        <w:rPr>
          <w:szCs w:val="24"/>
        </w:rPr>
        <w:t>,</w:t>
      </w:r>
      <w:r w:rsidRPr="00E7058F">
        <w:rPr>
          <w:szCs w:val="24"/>
        </w:rPr>
        <w:t xml:space="preserve"> betartani</w:t>
      </w:r>
    </w:p>
    <w:p w14:paraId="42297D12"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a magyar, valamint az Európai Unió jogszabályainak megfelelni;</w:t>
      </w:r>
    </w:p>
    <w:p w14:paraId="4CAFFCDF"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 xml:space="preserve">az Európa Tanács Fejlesztési Bank kérésére megerősíteni, hogy minden környezetvédelmi és versenyjogi engedéllyel rendelkezik, amely a működéshez szükséges; </w:t>
      </w:r>
    </w:p>
    <w:p w14:paraId="1684CEFB"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üzleti és pénzügyi könyveit megfelelően vezetni és minden jelen pontba felsoroltakkal kapcsolatos dokumentumot ellenőrzés céljából a Származékos Kölcsönszerződés szerinti utolsó tőketörlesztési napot követő 5 évig megőrizni;</w:t>
      </w:r>
    </w:p>
    <w:p w14:paraId="0005301B" w14:textId="13FF43D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a Származékos Kölcsönt előtörleszteni, amennyiben megsérti a jelen pontba</w:t>
      </w:r>
      <w:r w:rsidR="00C91647">
        <w:rPr>
          <w:szCs w:val="24"/>
        </w:rPr>
        <w:t>n</w:t>
      </w:r>
      <w:r w:rsidRPr="00E7058F">
        <w:rPr>
          <w:szCs w:val="24"/>
        </w:rPr>
        <w:t xml:space="preserve"> foglalt bármely kötelezettséget;</w:t>
      </w:r>
    </w:p>
    <w:p w14:paraId="621322C5"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a Származékos Kölcsön folyósítására egy olyan, az Ügyfél javára megnyitott fizetési számlát megjelölni, amelyet az Ügyfél illetősége szerinti vagy a Származékos Kölcsön felhasználásának helye szerinti megfelelő engedéllyel rendelkező hitelintézet vezet;</w:t>
      </w:r>
    </w:p>
    <w:p w14:paraId="1329CACB"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lastRenderedPageBreak/>
        <w:t>ésszerű időn belül gondoskodni arról, hogy amennyiben az Ügyfél bármely vezető tisztségviselőjével szemben tisztségével összefüggésben jogerős és végrehajtható bírósági döntés születik bűncselekmény elkövetése miatt, az érintett vezető tisztségviselő kizárásra kerüljön a Származékos Kölcsönszerződéssel finanszírozott tevékenység gyakorlásából;</w:t>
      </w:r>
    </w:p>
    <w:p w14:paraId="45558C50" w14:textId="0BD4CB3C"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haladéktalanul értesíteni a Bankot, amennyiben a fenti (</w:t>
      </w:r>
      <w:r w:rsidR="007715AE">
        <w:rPr>
          <w:szCs w:val="24"/>
        </w:rPr>
        <w:t>o</w:t>
      </w:r>
      <w:r w:rsidRPr="00E7058F">
        <w:rPr>
          <w:szCs w:val="24"/>
        </w:rPr>
        <w:t>) pontban foglaltak alkalmazására kerül sor;</w:t>
      </w:r>
    </w:p>
    <w:p w14:paraId="7DF4A63C"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haladéktalanul értesíteni a Bankot, amennyiben bűncselekmény gyanúja merül fel az Ügyféllel összefüggésben;</w:t>
      </w:r>
    </w:p>
    <w:p w14:paraId="13E6A7CD" w14:textId="77777777" w:rsidR="001564EC" w:rsidRPr="00E7058F" w:rsidRDefault="001564EC" w:rsidP="001564EC">
      <w:pPr>
        <w:pStyle w:val="Szvegtrzsbehzssal"/>
        <w:widowControl w:val="0"/>
        <w:numPr>
          <w:ilvl w:val="0"/>
          <w:numId w:val="1"/>
        </w:numPr>
        <w:tabs>
          <w:tab w:val="left" w:pos="1418"/>
          <w:tab w:val="left" w:pos="2268"/>
        </w:tabs>
        <w:overflowPunct w:val="0"/>
        <w:autoSpaceDE w:val="0"/>
        <w:autoSpaceDN w:val="0"/>
        <w:adjustRightInd w:val="0"/>
        <w:spacing w:before="120"/>
        <w:textAlignment w:val="baseline"/>
        <w:rPr>
          <w:szCs w:val="24"/>
        </w:rPr>
      </w:pPr>
      <w:r w:rsidRPr="00E7058F">
        <w:rPr>
          <w:szCs w:val="24"/>
        </w:rPr>
        <w:t>az Európa Tanács Fejlesztési Bank rendelkezésére bocsátani minden szükséges információt és dokumentumot, amely a fentiekben részletezett kötelezettségvállalások kapcsán szükségesek;</w:t>
      </w:r>
    </w:p>
    <w:p w14:paraId="12C01FB8" w14:textId="77777777" w:rsidR="001564EC" w:rsidRPr="00E7058F" w:rsidRDefault="001564EC" w:rsidP="008461C3">
      <w:pPr>
        <w:pStyle w:val="Szvegtrzsbehzssal"/>
        <w:widowControl w:val="0"/>
        <w:numPr>
          <w:ilvl w:val="0"/>
          <w:numId w:val="1"/>
        </w:numPr>
        <w:tabs>
          <w:tab w:val="left" w:pos="1418"/>
          <w:tab w:val="left" w:pos="2268"/>
        </w:tabs>
        <w:overflowPunct w:val="0"/>
        <w:autoSpaceDE w:val="0"/>
        <w:autoSpaceDN w:val="0"/>
        <w:adjustRightInd w:val="0"/>
        <w:ind w:left="1644"/>
        <w:textAlignment w:val="baseline"/>
        <w:rPr>
          <w:szCs w:val="24"/>
        </w:rPr>
      </w:pPr>
      <w:r w:rsidRPr="00E7058F">
        <w:rPr>
          <w:szCs w:val="24"/>
        </w:rPr>
        <w:t>a Bank, illetve az Eximbank rendelkezésére bocsátani minden olyan információt és dokumentumot, amelyek szükségesek ahhoz, hogy az Eximbank az Európa Tanács Fejlesztési Bankkal kötött hitelkeretszerződésbe foglalt adatszolgáltatási kötelezettségének eleget tegyen.</w:t>
      </w:r>
    </w:p>
    <w:p w14:paraId="24135DE0" w14:textId="77777777" w:rsidR="007C4D6E" w:rsidRPr="007C4D6E" w:rsidRDefault="007C4D6E" w:rsidP="007C4D6E">
      <w:pPr>
        <w:widowControl w:val="0"/>
        <w:tabs>
          <w:tab w:val="left" w:pos="1418"/>
        </w:tabs>
        <w:spacing w:before="120"/>
        <w:ind w:right="45"/>
        <w:jc w:val="both"/>
        <w:rPr>
          <w:rFonts w:ascii="Times New Roman" w:hAnsi="Times New Roman" w:cs="Times New Roman"/>
          <w:color w:val="000000"/>
          <w:sz w:val="24"/>
          <w:szCs w:val="24"/>
        </w:rPr>
      </w:pPr>
      <w:bookmarkStart w:id="2" w:name="OLE_LINK6"/>
      <w:r w:rsidRPr="007C4D6E">
        <w:rPr>
          <w:rFonts w:ascii="Times New Roman" w:hAnsi="Times New Roman" w:cs="Times New Roman"/>
          <w:color w:val="000000"/>
          <w:sz w:val="24"/>
          <w:szCs w:val="24"/>
        </w:rPr>
        <w:t xml:space="preserve">Alulírottak, kijelentjük továbbá, hogy tudomással bírunk arról, hogy az Eximbank és az Európai </w:t>
      </w:r>
      <w:r>
        <w:rPr>
          <w:rFonts w:ascii="Times New Roman" w:hAnsi="Times New Roman" w:cs="Times New Roman"/>
          <w:color w:val="000000"/>
          <w:sz w:val="24"/>
          <w:szCs w:val="24"/>
        </w:rPr>
        <w:t>Tanács Fejlesztési</w:t>
      </w:r>
      <w:r w:rsidRPr="007C4D6E">
        <w:rPr>
          <w:rFonts w:ascii="Times New Roman" w:hAnsi="Times New Roman" w:cs="Times New Roman"/>
          <w:color w:val="000000"/>
          <w:sz w:val="24"/>
          <w:szCs w:val="24"/>
        </w:rPr>
        <w:t xml:space="preserve"> Bank között létrejött hitelkeret-szerződés alapján az Eximbankot információ- és adatszolgáltatási kötelezettség terheli, illetve terhelheti az Ügyfelet illetően.</w:t>
      </w:r>
    </w:p>
    <w:p w14:paraId="5FCAFDFF" w14:textId="7965E736" w:rsidR="001564EC" w:rsidRPr="00E7058F" w:rsidRDefault="007C4D6E" w:rsidP="008F2918">
      <w:pPr>
        <w:widowControl w:val="0"/>
        <w:tabs>
          <w:tab w:val="left" w:pos="1418"/>
        </w:tabs>
        <w:spacing w:before="120"/>
        <w:ind w:right="45"/>
        <w:jc w:val="both"/>
        <w:rPr>
          <w:szCs w:val="24"/>
        </w:rPr>
      </w:pPr>
      <w:r w:rsidRPr="007C4D6E">
        <w:rPr>
          <w:rFonts w:ascii="Times New Roman" w:hAnsi="Times New Roman" w:cs="Times New Roman"/>
          <w:color w:val="000000"/>
          <w:sz w:val="24"/>
          <w:szCs w:val="24"/>
        </w:rPr>
        <w:t xml:space="preserve">A hitelintézetekről és a pénzügyi vállalkozásokról szóló 2013. évi </w:t>
      </w:r>
      <w:bookmarkStart w:id="3" w:name="OLE_LINK7"/>
      <w:r w:rsidRPr="007C4D6E">
        <w:rPr>
          <w:rFonts w:ascii="Times New Roman" w:hAnsi="Times New Roman" w:cs="Times New Roman"/>
          <w:color w:val="000000"/>
          <w:sz w:val="24"/>
          <w:szCs w:val="24"/>
        </w:rPr>
        <w:t>CCXXXVII.</w:t>
      </w:r>
      <w:bookmarkEnd w:id="3"/>
      <w:r w:rsidRPr="007C4D6E">
        <w:rPr>
          <w:rFonts w:ascii="Times New Roman" w:hAnsi="Times New Roman" w:cs="Times New Roman"/>
          <w:color w:val="000000"/>
          <w:sz w:val="24"/>
          <w:szCs w:val="24"/>
        </w:rPr>
        <w:t xml:space="preserve"> törvény 161.</w:t>
      </w:r>
      <w:r w:rsidR="00676235">
        <w:rPr>
          <w:rFonts w:ascii="Times New Roman" w:hAnsi="Times New Roman" w:cs="Times New Roman"/>
          <w:color w:val="000000"/>
          <w:sz w:val="24"/>
          <w:szCs w:val="24"/>
        </w:rPr>
        <w:t>§</w:t>
      </w:r>
      <w:r w:rsidRPr="007C4D6E">
        <w:rPr>
          <w:rFonts w:ascii="Times New Roman" w:hAnsi="Times New Roman" w:cs="Times New Roman"/>
          <w:color w:val="000000"/>
          <w:sz w:val="24"/>
          <w:szCs w:val="24"/>
        </w:rPr>
        <w:t xml:space="preserve"> (1) bekezdésének a) pontja értelmében ezennel hozzájárulok ahhoz, hogy az Eximbank az Ügyféllel összefüggésben az Eximbank rendelkezésére álló, tudomására jutott banktitkot, illetve üzleti titkot képező tényt, információt, megoldást vagy adatot (így különösen az Ügyfél adataira, vagyoni és pénzügyi helyzetére, üzleti tevékenységére, gazdálkodására, tulajdonosi, üzleti kapcsolataira vonatkozó tényt, információt, megoldást vagy adatot) korlátozásmentesen az Európai </w:t>
      </w:r>
      <w:r w:rsidR="00BB69F6">
        <w:rPr>
          <w:rFonts w:ascii="Times New Roman" w:hAnsi="Times New Roman" w:cs="Times New Roman"/>
          <w:color w:val="000000"/>
          <w:sz w:val="24"/>
          <w:szCs w:val="24"/>
        </w:rPr>
        <w:t>Tanács Fejlesztési</w:t>
      </w:r>
      <w:r w:rsidRPr="007C4D6E">
        <w:rPr>
          <w:rFonts w:ascii="Times New Roman" w:hAnsi="Times New Roman" w:cs="Times New Roman"/>
          <w:color w:val="000000"/>
          <w:sz w:val="24"/>
          <w:szCs w:val="24"/>
        </w:rPr>
        <w:t xml:space="preserve"> Bank tudomására hozza és </w:t>
      </w:r>
      <w:r w:rsidR="00BB69F6">
        <w:rPr>
          <w:rFonts w:ascii="Times New Roman" w:hAnsi="Times New Roman" w:cs="Times New Roman"/>
          <w:color w:val="000000"/>
          <w:sz w:val="24"/>
          <w:szCs w:val="24"/>
        </w:rPr>
        <w:t>–</w:t>
      </w:r>
      <w:r w:rsidRPr="007C4D6E">
        <w:rPr>
          <w:rFonts w:ascii="Times New Roman" w:hAnsi="Times New Roman" w:cs="Times New Roman"/>
          <w:color w:val="000000"/>
          <w:sz w:val="24"/>
          <w:szCs w:val="24"/>
        </w:rPr>
        <w:t xml:space="preserve"> az erre irányuló kifejezett kérelemre </w:t>
      </w:r>
      <w:r w:rsidR="00BB69F6">
        <w:rPr>
          <w:rFonts w:ascii="Times New Roman" w:hAnsi="Times New Roman" w:cs="Times New Roman"/>
          <w:color w:val="000000"/>
          <w:sz w:val="24"/>
          <w:szCs w:val="24"/>
        </w:rPr>
        <w:t>–</w:t>
      </w:r>
      <w:r w:rsidRPr="007C4D6E">
        <w:rPr>
          <w:rFonts w:ascii="Times New Roman" w:hAnsi="Times New Roman" w:cs="Times New Roman"/>
          <w:color w:val="000000"/>
          <w:sz w:val="24"/>
          <w:szCs w:val="24"/>
        </w:rPr>
        <w:t xml:space="preserve"> a Származékos Kölcsönszerződést részére megküldje. Az adatok, információk felhasználási célja az Eximbank információ- és adatszolgáltatási kötelezettségének teljesítése az Európai </w:t>
      </w:r>
      <w:r>
        <w:rPr>
          <w:rFonts w:ascii="Times New Roman" w:hAnsi="Times New Roman" w:cs="Times New Roman"/>
          <w:color w:val="000000"/>
          <w:sz w:val="24"/>
          <w:szCs w:val="24"/>
        </w:rPr>
        <w:t>Tanács Fejlesztési</w:t>
      </w:r>
      <w:r w:rsidRPr="007C4D6E">
        <w:rPr>
          <w:rFonts w:ascii="Times New Roman" w:hAnsi="Times New Roman" w:cs="Times New Roman"/>
          <w:color w:val="000000"/>
          <w:sz w:val="24"/>
          <w:szCs w:val="24"/>
        </w:rPr>
        <w:t xml:space="preserve"> Bank irányába.</w:t>
      </w:r>
      <w:bookmarkEnd w:id="2"/>
    </w:p>
    <w:p w14:paraId="097F0FCF" w14:textId="4A94B415" w:rsidR="001564EC" w:rsidRPr="00E7058F" w:rsidRDefault="001564EC" w:rsidP="001564EC">
      <w:pPr>
        <w:rPr>
          <w:rFonts w:ascii="Times New Roman" w:hAnsi="Times New Roman" w:cs="Times New Roman"/>
          <w:sz w:val="24"/>
          <w:szCs w:val="24"/>
        </w:rPr>
      </w:pPr>
      <w:r w:rsidRPr="00E7058F">
        <w:rPr>
          <w:rFonts w:ascii="Times New Roman" w:hAnsi="Times New Roman" w:cs="Times New Roman"/>
          <w:sz w:val="24"/>
          <w:szCs w:val="24"/>
        </w:rPr>
        <w:t xml:space="preserve">Kelt: ____________, </w:t>
      </w:r>
      <w:r w:rsidR="00981596" w:rsidRPr="00E7058F">
        <w:rPr>
          <w:rFonts w:ascii="Times New Roman" w:hAnsi="Times New Roman" w:cs="Times New Roman"/>
          <w:sz w:val="24"/>
          <w:szCs w:val="24"/>
        </w:rPr>
        <w:t>20</w:t>
      </w:r>
      <w:r w:rsidR="00981596">
        <w:rPr>
          <w:rFonts w:ascii="Times New Roman" w:hAnsi="Times New Roman" w:cs="Times New Roman"/>
          <w:sz w:val="24"/>
          <w:szCs w:val="24"/>
        </w:rPr>
        <w:t>2</w:t>
      </w:r>
      <w:r w:rsidRPr="00E7058F">
        <w:rPr>
          <w:rFonts w:ascii="Times New Roman" w:hAnsi="Times New Roman" w:cs="Times New Roman"/>
          <w:sz w:val="24"/>
          <w:szCs w:val="24"/>
        </w:rPr>
        <w:t>_. ___________ __.</w:t>
      </w:r>
      <w:r w:rsidRPr="00E7058F">
        <w:rPr>
          <w:rFonts w:ascii="Times New Roman" w:hAnsi="Times New Roman" w:cs="Times New Roman"/>
          <w:sz w:val="24"/>
          <w:szCs w:val="24"/>
        </w:rPr>
        <w:tab/>
      </w:r>
      <w:r w:rsidRPr="00E7058F">
        <w:rPr>
          <w:rFonts w:ascii="Times New Roman" w:hAnsi="Times New Roman" w:cs="Times New Roman"/>
          <w:sz w:val="24"/>
          <w:szCs w:val="24"/>
        </w:rPr>
        <w:tab/>
      </w:r>
      <w:r w:rsidRPr="00E7058F">
        <w:rPr>
          <w:rFonts w:ascii="Times New Roman" w:hAnsi="Times New Roman" w:cs="Times New Roman"/>
          <w:sz w:val="24"/>
          <w:szCs w:val="24"/>
        </w:rPr>
        <w:tab/>
      </w:r>
    </w:p>
    <w:p w14:paraId="66F2C768" w14:textId="77777777" w:rsidR="001564EC" w:rsidRPr="00E7058F" w:rsidRDefault="001564EC" w:rsidP="001564EC">
      <w:pPr>
        <w:pStyle w:val="Szvegtrzs"/>
        <w:rPr>
          <w:rFonts w:ascii="Times New Roman" w:hAnsi="Times New Roman"/>
          <w:sz w:val="24"/>
          <w:szCs w:val="24"/>
        </w:rPr>
      </w:pP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t xml:space="preserve">      </w:t>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t>____________________</w:t>
      </w:r>
    </w:p>
    <w:p w14:paraId="0AD8C543" w14:textId="77777777" w:rsidR="001564EC" w:rsidRPr="00E7058F" w:rsidRDefault="001564EC" w:rsidP="001564EC">
      <w:pPr>
        <w:pStyle w:val="Szvegtrzs"/>
        <w:rPr>
          <w:rFonts w:ascii="Times New Roman" w:hAnsi="Times New Roman"/>
          <w:sz w:val="24"/>
          <w:szCs w:val="24"/>
        </w:rPr>
      </w:pP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t>(Ügyfél cégszerű aláírása)</w:t>
      </w:r>
    </w:p>
    <w:p w14:paraId="39146512" w14:textId="77777777" w:rsidR="00246042" w:rsidRPr="00E7058F" w:rsidRDefault="001564EC" w:rsidP="00511F32">
      <w:pPr>
        <w:pStyle w:val="Szvegtrzs"/>
        <w:rPr>
          <w:rFonts w:ascii="Times New Roman" w:hAnsi="Times New Roman"/>
          <w:sz w:val="24"/>
          <w:szCs w:val="24"/>
        </w:rPr>
      </w:pP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r>
      <w:r w:rsidRPr="00E7058F">
        <w:rPr>
          <w:rFonts w:ascii="Times New Roman" w:hAnsi="Times New Roman"/>
          <w:sz w:val="24"/>
          <w:szCs w:val="24"/>
        </w:rPr>
        <w:tab/>
        <w:t xml:space="preserve">         (beosztása)</w:t>
      </w:r>
    </w:p>
    <w:sectPr w:rsidR="00246042" w:rsidRPr="00E7058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11F56" w14:textId="77777777" w:rsidR="001564EC" w:rsidRDefault="001564EC" w:rsidP="001564EC">
      <w:pPr>
        <w:spacing w:after="0" w:line="240" w:lineRule="auto"/>
      </w:pPr>
      <w:r>
        <w:separator/>
      </w:r>
    </w:p>
  </w:endnote>
  <w:endnote w:type="continuationSeparator" w:id="0">
    <w:p w14:paraId="1213D879" w14:textId="77777777" w:rsidR="001564EC" w:rsidRDefault="001564EC" w:rsidP="0015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Times New Roman">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976F" w14:textId="77777777" w:rsidR="006D1D8F" w:rsidRDefault="006D1D8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624208"/>
      <w:docPartObj>
        <w:docPartGallery w:val="Page Numbers (Bottom of Page)"/>
        <w:docPartUnique/>
      </w:docPartObj>
    </w:sdtPr>
    <w:sdtEndPr/>
    <w:sdtContent>
      <w:p w14:paraId="5A6A18C7" w14:textId="35404009" w:rsidR="00D83AC6" w:rsidRDefault="00D83AC6" w:rsidP="0085632A">
        <w:pPr>
          <w:pStyle w:val="llb"/>
          <w:jc w:val="right"/>
        </w:pPr>
        <w:r>
          <w:fldChar w:fldCharType="begin"/>
        </w:r>
        <w:r>
          <w:instrText>PAGE   \* MERGEFORMAT</w:instrText>
        </w:r>
        <w:r>
          <w:fldChar w:fldCharType="separate"/>
        </w:r>
        <w:r w:rsidR="00A632A3">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468F8" w14:textId="77777777" w:rsidR="006D1D8F" w:rsidRDefault="006D1D8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89AFE" w14:textId="77777777" w:rsidR="001564EC" w:rsidRDefault="001564EC" w:rsidP="001564EC">
      <w:pPr>
        <w:spacing w:after="0" w:line="240" w:lineRule="auto"/>
      </w:pPr>
      <w:r>
        <w:separator/>
      </w:r>
    </w:p>
  </w:footnote>
  <w:footnote w:type="continuationSeparator" w:id="0">
    <w:p w14:paraId="76C6E26B" w14:textId="77777777" w:rsidR="001564EC" w:rsidRDefault="001564EC" w:rsidP="001564EC">
      <w:pPr>
        <w:spacing w:after="0" w:line="240" w:lineRule="auto"/>
      </w:pPr>
      <w:r>
        <w:continuationSeparator/>
      </w:r>
    </w:p>
  </w:footnote>
  <w:footnote w:id="1">
    <w:p w14:paraId="4EDD512B" w14:textId="47AAAD5C" w:rsidR="001564EC" w:rsidRPr="00042E48" w:rsidRDefault="001564EC" w:rsidP="001564EC">
      <w:pPr>
        <w:pStyle w:val="Lbjegyzetszveg"/>
        <w:ind w:left="0" w:firstLine="3"/>
      </w:pPr>
      <w:r w:rsidRPr="00042E48">
        <w:rPr>
          <w:rStyle w:val="Lbjegyzet-hivatkozs"/>
        </w:rPr>
        <w:footnoteRef/>
      </w:r>
      <w:r w:rsidRPr="00042E48">
        <w:t xml:space="preserve"> Az </w:t>
      </w:r>
      <w:r w:rsidR="007E2073">
        <w:t>5</w:t>
      </w:r>
      <w:r w:rsidR="00031C8D" w:rsidRPr="00042E48">
        <w:t xml:space="preserve"> </w:t>
      </w:r>
      <w:r w:rsidRPr="00042E48">
        <w:t xml:space="preserve">M EUR (azaz </w:t>
      </w:r>
      <w:r w:rsidR="007E2073">
        <w:t>ö</w:t>
      </w:r>
      <w:r w:rsidR="00031C8D" w:rsidRPr="00042E48">
        <w:t xml:space="preserve">tmillió </w:t>
      </w:r>
      <w:r w:rsidRPr="00042E48">
        <w:t>euro) összeget</w:t>
      </w:r>
      <w:r w:rsidR="00042E48" w:rsidRPr="00042E48">
        <w:t xml:space="preserve"> – USD vagy HUF esetében az EXIM kockázati döntés előterjesztése napján</w:t>
      </w:r>
      <w:r w:rsidR="00042E48">
        <w:t>/</w:t>
      </w:r>
      <w:r w:rsidR="00042E48" w:rsidRPr="00042E48">
        <w:t xml:space="preserve">vagy keret konstrukció esetén a lehívási értesítő EXIM általi záradékolás napján érvényes MNB középárfolyammal átszámított összeget –  </w:t>
      </w:r>
      <w:r w:rsidRPr="00042E48">
        <w:t>meg nem haladó Származékos Kölcsönszerződéssel finanszírozott azon Ügyfelek esetében töltendő ki, akik a kis- és középvállalkozásokról, fejlődésük támogatásáról szóló 2004. évi XXXIV. törvény</w:t>
      </w:r>
      <w:r w:rsidRPr="00042E48" w:rsidDel="00392B6C">
        <w:t xml:space="preserve"> </w:t>
      </w:r>
      <w:r w:rsidRPr="00042E48">
        <w:t>vonatkozó rendelkezései értelmében KKV-nak minősülnek.</w:t>
      </w:r>
    </w:p>
  </w:footnote>
  <w:footnote w:id="2">
    <w:p w14:paraId="5681E1E8" w14:textId="2F06F0A4" w:rsidR="001C3818" w:rsidRDefault="0098707F">
      <w:pPr>
        <w:pStyle w:val="Lbjegyzetszveg"/>
      </w:pPr>
      <w:r>
        <w:rPr>
          <w:rStyle w:val="Lbjegyzet-hivatkozs"/>
        </w:rPr>
        <w:footnoteRef/>
      </w:r>
      <w:r>
        <w:t xml:space="preserve"> </w:t>
      </w:r>
      <w:hyperlink r:id="rId1" w:history="1">
        <w:r w:rsidR="001C3818" w:rsidRPr="00457F28">
          <w:rPr>
            <w:rStyle w:val="Hiperhivatkozs"/>
          </w:rPr>
          <w:t>https://coebank.org/media/documents/Environmental_and_Social_Safeguards_Policy.pdf</w:t>
        </w:r>
      </w:hyperlink>
      <w:r w:rsidR="00823FF4">
        <w:t xml:space="preserve"> </w:t>
      </w:r>
    </w:p>
  </w:footnote>
  <w:footnote w:id="3">
    <w:p w14:paraId="1B7FBEAF" w14:textId="77777777" w:rsidR="001564EC" w:rsidRPr="0085632A" w:rsidRDefault="001564EC" w:rsidP="001564EC">
      <w:pPr>
        <w:pStyle w:val="Lbjegyzetszveg"/>
        <w:ind w:left="142" w:hanging="142"/>
      </w:pPr>
      <w:r w:rsidRPr="0085632A">
        <w:footnoteRef/>
      </w:r>
      <w:r w:rsidRPr="0085632A">
        <w:t xml:space="preserve">Az Emberi Jogok Európai Egyezményének nem hivatalos magyar nyelvű fordítása a </w:t>
      </w:r>
      <w:hyperlink r:id="rId2" w:history="1">
        <w:r w:rsidRPr="0085632A">
          <w:t>http://www.echr.coe.int/Documents/Convention_HUN.pdf</w:t>
        </w:r>
      </w:hyperlink>
      <w:r w:rsidRPr="0085632A">
        <w:t xml:space="preserve"> oldalon érhető el. Az Egyezmény szövegének kizárólag az angol és francia változata tekinthető hitelesnek.</w:t>
      </w:r>
    </w:p>
  </w:footnote>
  <w:footnote w:id="4">
    <w:p w14:paraId="0EC2EDCF" w14:textId="77777777" w:rsidR="001564EC" w:rsidRPr="0085632A" w:rsidRDefault="001564EC" w:rsidP="0085632A">
      <w:pPr>
        <w:pStyle w:val="Lbjegyzetszveg"/>
        <w:ind w:left="142" w:hanging="142"/>
        <w:rPr>
          <w:rFonts w:asciiTheme="minorHAnsi" w:hAnsiTheme="minorHAnsi"/>
        </w:rPr>
      </w:pPr>
      <w:r w:rsidRPr="0085632A">
        <w:footnoteRef/>
      </w:r>
      <w:r w:rsidRPr="0085632A">
        <w:t>Az Európai Szociális Kartát Magyarországon az Európai Szociális Karta kihirdetéséről szóló 1999. évi C. törvény hirdette ki. A Karta eredeti angol nyelvű szövegét és annak hivatalos magyar nyelvű fordítását a hivatkozott törvény tartalmazza.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2604" w14:textId="77777777" w:rsidR="006D1D8F" w:rsidRDefault="006D1D8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9E0D" w14:textId="77777777" w:rsidR="0085632A" w:rsidRPr="006D1D8F" w:rsidRDefault="0085632A" w:rsidP="006D1D8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7060" w14:textId="77777777" w:rsidR="006D1D8F" w:rsidRDefault="006D1D8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45596"/>
    <w:multiLevelType w:val="hybridMultilevel"/>
    <w:tmpl w:val="6CC41C00"/>
    <w:lvl w:ilvl="0" w:tplc="040E0017">
      <w:start w:val="1"/>
      <w:numFmt w:val="lowerLetter"/>
      <w:lvlText w:val="%1)"/>
      <w:lvlJc w:val="left"/>
      <w:pPr>
        <w:ind w:left="1287" w:hanging="360"/>
      </w:pPr>
    </w:lvl>
    <w:lvl w:ilvl="1" w:tplc="040E0019">
      <w:start w:val="1"/>
      <w:numFmt w:val="lowerLetter"/>
      <w:lvlText w:val="%2."/>
      <w:lvlJc w:val="left"/>
      <w:pPr>
        <w:ind w:left="2007" w:hanging="360"/>
      </w:pPr>
    </w:lvl>
    <w:lvl w:ilvl="2" w:tplc="040E001B">
      <w:start w:val="1"/>
      <w:numFmt w:val="lowerRoman"/>
      <w:lvlText w:val="%3."/>
      <w:lvlJc w:val="right"/>
      <w:pPr>
        <w:ind w:left="2727" w:hanging="180"/>
      </w:p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1" w15:restartNumberingAfterBreak="0">
    <w:nsid w:val="191C01E9"/>
    <w:multiLevelType w:val="hybridMultilevel"/>
    <w:tmpl w:val="E98C5E2A"/>
    <w:lvl w:ilvl="0" w:tplc="040C0017">
      <w:start w:val="1"/>
      <w:numFmt w:val="lowerLetter"/>
      <w:lvlText w:val="%1)"/>
      <w:lvlJc w:val="left"/>
      <w:pPr>
        <w:ind w:left="1647" w:hanging="360"/>
      </w:pPr>
    </w:lvl>
    <w:lvl w:ilvl="1" w:tplc="040E0019">
      <w:start w:val="1"/>
      <w:numFmt w:val="lowerLetter"/>
      <w:lvlText w:val="%2."/>
      <w:lvlJc w:val="left"/>
      <w:pPr>
        <w:ind w:left="2367" w:hanging="360"/>
      </w:pPr>
    </w:lvl>
    <w:lvl w:ilvl="2" w:tplc="040E001B" w:tentative="1">
      <w:start w:val="1"/>
      <w:numFmt w:val="lowerRoman"/>
      <w:lvlText w:val="%3."/>
      <w:lvlJc w:val="right"/>
      <w:pPr>
        <w:ind w:left="3087" w:hanging="180"/>
      </w:pPr>
    </w:lvl>
    <w:lvl w:ilvl="3" w:tplc="040E000F" w:tentative="1">
      <w:start w:val="1"/>
      <w:numFmt w:val="decimal"/>
      <w:lvlText w:val="%4."/>
      <w:lvlJc w:val="left"/>
      <w:pPr>
        <w:ind w:left="3807" w:hanging="360"/>
      </w:pPr>
    </w:lvl>
    <w:lvl w:ilvl="4" w:tplc="040E0019" w:tentative="1">
      <w:start w:val="1"/>
      <w:numFmt w:val="lowerLetter"/>
      <w:lvlText w:val="%5."/>
      <w:lvlJc w:val="left"/>
      <w:pPr>
        <w:ind w:left="4527" w:hanging="360"/>
      </w:pPr>
    </w:lvl>
    <w:lvl w:ilvl="5" w:tplc="040E001B" w:tentative="1">
      <w:start w:val="1"/>
      <w:numFmt w:val="lowerRoman"/>
      <w:lvlText w:val="%6."/>
      <w:lvlJc w:val="right"/>
      <w:pPr>
        <w:ind w:left="5247" w:hanging="180"/>
      </w:pPr>
    </w:lvl>
    <w:lvl w:ilvl="6" w:tplc="040E000F" w:tentative="1">
      <w:start w:val="1"/>
      <w:numFmt w:val="decimal"/>
      <w:lvlText w:val="%7."/>
      <w:lvlJc w:val="left"/>
      <w:pPr>
        <w:ind w:left="5967" w:hanging="360"/>
      </w:pPr>
    </w:lvl>
    <w:lvl w:ilvl="7" w:tplc="040E0019" w:tentative="1">
      <w:start w:val="1"/>
      <w:numFmt w:val="lowerLetter"/>
      <w:lvlText w:val="%8."/>
      <w:lvlJc w:val="left"/>
      <w:pPr>
        <w:ind w:left="6687" w:hanging="360"/>
      </w:pPr>
    </w:lvl>
    <w:lvl w:ilvl="8" w:tplc="040E001B" w:tentative="1">
      <w:start w:val="1"/>
      <w:numFmt w:val="lowerRoman"/>
      <w:lvlText w:val="%9."/>
      <w:lvlJc w:val="right"/>
      <w:pPr>
        <w:ind w:left="7407" w:hanging="180"/>
      </w:pPr>
    </w:lvl>
  </w:abstractNum>
  <w:abstractNum w:abstractNumId="2" w15:restartNumberingAfterBreak="0">
    <w:nsid w:val="215E4F18"/>
    <w:multiLevelType w:val="hybridMultilevel"/>
    <w:tmpl w:val="343C3A1E"/>
    <w:lvl w:ilvl="0" w:tplc="BE2AFE66">
      <w:start w:val="1"/>
      <w:numFmt w:val="lowerRoman"/>
      <w:lvlText w:val="(%1)"/>
      <w:lvlJc w:val="left"/>
      <w:pPr>
        <w:ind w:left="1647" w:hanging="360"/>
      </w:pPr>
      <w:rPr>
        <w:rFonts w:hint="default"/>
      </w:rPr>
    </w:lvl>
    <w:lvl w:ilvl="1" w:tplc="040E0019" w:tentative="1">
      <w:start w:val="1"/>
      <w:numFmt w:val="lowerLetter"/>
      <w:lvlText w:val="%2."/>
      <w:lvlJc w:val="left"/>
      <w:pPr>
        <w:ind w:left="2367" w:hanging="360"/>
      </w:pPr>
    </w:lvl>
    <w:lvl w:ilvl="2" w:tplc="040E001B" w:tentative="1">
      <w:start w:val="1"/>
      <w:numFmt w:val="lowerRoman"/>
      <w:lvlText w:val="%3."/>
      <w:lvlJc w:val="right"/>
      <w:pPr>
        <w:ind w:left="3087" w:hanging="180"/>
      </w:pPr>
    </w:lvl>
    <w:lvl w:ilvl="3" w:tplc="040E000F" w:tentative="1">
      <w:start w:val="1"/>
      <w:numFmt w:val="decimal"/>
      <w:lvlText w:val="%4."/>
      <w:lvlJc w:val="left"/>
      <w:pPr>
        <w:ind w:left="3807" w:hanging="360"/>
      </w:pPr>
    </w:lvl>
    <w:lvl w:ilvl="4" w:tplc="040E0019" w:tentative="1">
      <w:start w:val="1"/>
      <w:numFmt w:val="lowerLetter"/>
      <w:lvlText w:val="%5."/>
      <w:lvlJc w:val="left"/>
      <w:pPr>
        <w:ind w:left="4527" w:hanging="360"/>
      </w:pPr>
    </w:lvl>
    <w:lvl w:ilvl="5" w:tplc="040E001B" w:tentative="1">
      <w:start w:val="1"/>
      <w:numFmt w:val="lowerRoman"/>
      <w:lvlText w:val="%6."/>
      <w:lvlJc w:val="right"/>
      <w:pPr>
        <w:ind w:left="5247" w:hanging="180"/>
      </w:pPr>
    </w:lvl>
    <w:lvl w:ilvl="6" w:tplc="040E000F" w:tentative="1">
      <w:start w:val="1"/>
      <w:numFmt w:val="decimal"/>
      <w:lvlText w:val="%7."/>
      <w:lvlJc w:val="left"/>
      <w:pPr>
        <w:ind w:left="5967" w:hanging="360"/>
      </w:pPr>
    </w:lvl>
    <w:lvl w:ilvl="7" w:tplc="040E0019" w:tentative="1">
      <w:start w:val="1"/>
      <w:numFmt w:val="lowerLetter"/>
      <w:lvlText w:val="%8."/>
      <w:lvlJc w:val="left"/>
      <w:pPr>
        <w:ind w:left="6687" w:hanging="360"/>
      </w:pPr>
    </w:lvl>
    <w:lvl w:ilvl="8" w:tplc="040E001B" w:tentative="1">
      <w:start w:val="1"/>
      <w:numFmt w:val="lowerRoman"/>
      <w:lvlText w:val="%9."/>
      <w:lvlJc w:val="right"/>
      <w:pPr>
        <w:ind w:left="740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EC"/>
    <w:rsid w:val="00031C8D"/>
    <w:rsid w:val="00042E48"/>
    <w:rsid w:val="000477C9"/>
    <w:rsid w:val="000674DD"/>
    <w:rsid w:val="000D5519"/>
    <w:rsid w:val="000F7B36"/>
    <w:rsid w:val="001564EC"/>
    <w:rsid w:val="00185ADD"/>
    <w:rsid w:val="001C3818"/>
    <w:rsid w:val="001D3AA4"/>
    <w:rsid w:val="00212052"/>
    <w:rsid w:val="00246042"/>
    <w:rsid w:val="00272969"/>
    <w:rsid w:val="002879A4"/>
    <w:rsid w:val="002D379D"/>
    <w:rsid w:val="00313255"/>
    <w:rsid w:val="0034617C"/>
    <w:rsid w:val="003A2AED"/>
    <w:rsid w:val="003F3188"/>
    <w:rsid w:val="00400298"/>
    <w:rsid w:val="00402676"/>
    <w:rsid w:val="00454335"/>
    <w:rsid w:val="00455612"/>
    <w:rsid w:val="00504513"/>
    <w:rsid w:val="00511F32"/>
    <w:rsid w:val="005A48A5"/>
    <w:rsid w:val="00621470"/>
    <w:rsid w:val="00627FCC"/>
    <w:rsid w:val="00632C7A"/>
    <w:rsid w:val="00633DAB"/>
    <w:rsid w:val="00676235"/>
    <w:rsid w:val="006D1D8F"/>
    <w:rsid w:val="007715AE"/>
    <w:rsid w:val="007A032A"/>
    <w:rsid w:val="007C4D6E"/>
    <w:rsid w:val="007E2073"/>
    <w:rsid w:val="00823FF4"/>
    <w:rsid w:val="00833814"/>
    <w:rsid w:val="008461C3"/>
    <w:rsid w:val="0085632A"/>
    <w:rsid w:val="00856AC9"/>
    <w:rsid w:val="00895DED"/>
    <w:rsid w:val="008A7D91"/>
    <w:rsid w:val="008D3E7A"/>
    <w:rsid w:val="008F2918"/>
    <w:rsid w:val="00981596"/>
    <w:rsid w:val="0098707F"/>
    <w:rsid w:val="00A016EE"/>
    <w:rsid w:val="00A632A3"/>
    <w:rsid w:val="00A836A2"/>
    <w:rsid w:val="00AD6A12"/>
    <w:rsid w:val="00B13249"/>
    <w:rsid w:val="00B40745"/>
    <w:rsid w:val="00B6315A"/>
    <w:rsid w:val="00BA594F"/>
    <w:rsid w:val="00BB69F6"/>
    <w:rsid w:val="00C178F2"/>
    <w:rsid w:val="00C33664"/>
    <w:rsid w:val="00C91647"/>
    <w:rsid w:val="00CA7C89"/>
    <w:rsid w:val="00D230E2"/>
    <w:rsid w:val="00D3613E"/>
    <w:rsid w:val="00D83AC6"/>
    <w:rsid w:val="00D94C68"/>
    <w:rsid w:val="00DB243F"/>
    <w:rsid w:val="00DB7E8D"/>
    <w:rsid w:val="00DC6739"/>
    <w:rsid w:val="00DD3CDA"/>
    <w:rsid w:val="00DD5676"/>
    <w:rsid w:val="00E01420"/>
    <w:rsid w:val="00E7058F"/>
    <w:rsid w:val="00E84C6B"/>
    <w:rsid w:val="00E8513D"/>
    <w:rsid w:val="00E90F6B"/>
    <w:rsid w:val="00E91BB9"/>
    <w:rsid w:val="00EB6990"/>
    <w:rsid w:val="00EF10DB"/>
    <w:rsid w:val="00F01F66"/>
    <w:rsid w:val="00F90B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6B734A8"/>
  <w15:docId w15:val="{B8AAFAD9-0F5B-460A-B93F-CFD40F7E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564E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uiPriority w:val="99"/>
    <w:rsid w:val="001564EC"/>
    <w:pPr>
      <w:widowControl w:val="0"/>
      <w:spacing w:after="0" w:line="240" w:lineRule="auto"/>
      <w:ind w:left="706" w:hanging="706"/>
      <w:jc w:val="both"/>
    </w:pPr>
    <w:rPr>
      <w:rFonts w:ascii="Times New Roman" w:eastAsia="Times New Roman" w:hAnsi="Times New Roman" w:cs="Times New Roman"/>
      <w:sz w:val="20"/>
      <w:szCs w:val="20"/>
      <w:lang w:eastAsia="hu-HU"/>
    </w:rPr>
  </w:style>
  <w:style w:type="character" w:customStyle="1" w:styleId="LbjegyzetszvegChar">
    <w:name w:val="Lábjegyzetszöveg Char"/>
    <w:aliases w:val="Footnote Char,Char1 Char"/>
    <w:basedOn w:val="Bekezdsalapbettpusa"/>
    <w:link w:val="Lbjegyzetszveg"/>
    <w:uiPriority w:val="99"/>
    <w:rsid w:val="001564EC"/>
    <w:rPr>
      <w:rFonts w:ascii="Times New Roman" w:eastAsia="Times New Roman" w:hAnsi="Times New Roman" w:cs="Times New Roman"/>
      <w:sz w:val="20"/>
      <w:szCs w:val="20"/>
      <w:lang w:eastAsia="hu-HU"/>
    </w:rPr>
  </w:style>
  <w:style w:type="character" w:styleId="Lbjegyzet-hivatkozs">
    <w:name w:val="footnote reference"/>
    <w:aliases w:val="ftref"/>
    <w:basedOn w:val="Bekezdsalapbettpusa"/>
    <w:uiPriority w:val="99"/>
    <w:rsid w:val="001564EC"/>
    <w:rPr>
      <w:rFonts w:ascii="Times New Roman" w:hAnsi="Times New Roman"/>
      <w:sz w:val="24"/>
      <w:vertAlign w:val="superscript"/>
    </w:rPr>
  </w:style>
  <w:style w:type="paragraph" w:styleId="Szvegtrzsbehzssal">
    <w:name w:val="Body Text Indent"/>
    <w:basedOn w:val="Norml"/>
    <w:link w:val="SzvegtrzsbehzssalChar"/>
    <w:semiHidden/>
    <w:rsid w:val="001564EC"/>
    <w:pPr>
      <w:spacing w:after="0" w:line="240" w:lineRule="auto"/>
      <w:ind w:left="720"/>
      <w:jc w:val="both"/>
    </w:pPr>
    <w:rPr>
      <w:rFonts w:ascii="Times New Roman" w:eastAsia="Times New Roman" w:hAnsi="Times New Roman" w:cs="Times New Roman"/>
      <w:color w:val="000000"/>
      <w:sz w:val="24"/>
      <w:szCs w:val="20"/>
      <w:lang w:eastAsia="hu-HU"/>
    </w:rPr>
  </w:style>
  <w:style w:type="character" w:customStyle="1" w:styleId="SzvegtrzsbehzssalChar">
    <w:name w:val="Szövegtörzs behúzással Char"/>
    <w:basedOn w:val="Bekezdsalapbettpusa"/>
    <w:link w:val="Szvegtrzsbehzssal"/>
    <w:semiHidden/>
    <w:rsid w:val="001564EC"/>
    <w:rPr>
      <w:rFonts w:ascii="Times New Roman" w:eastAsia="Times New Roman" w:hAnsi="Times New Roman" w:cs="Times New Roman"/>
      <w:color w:val="000000"/>
      <w:sz w:val="24"/>
      <w:szCs w:val="20"/>
      <w:lang w:eastAsia="hu-HU"/>
    </w:rPr>
  </w:style>
  <w:style w:type="paragraph" w:styleId="Szvegtrzs">
    <w:name w:val="Body Text"/>
    <w:basedOn w:val="Norml"/>
    <w:link w:val="SzvegtrzsChar"/>
    <w:uiPriority w:val="99"/>
    <w:semiHidden/>
    <w:rsid w:val="001564EC"/>
    <w:pPr>
      <w:spacing w:after="0" w:line="240" w:lineRule="auto"/>
      <w:jc w:val="both"/>
    </w:pPr>
    <w:rPr>
      <w:rFonts w:ascii="H-Times New Roman" w:eastAsia="Times New Roman" w:hAnsi="H-Times New Roman" w:cs="Times New Roman"/>
      <w:szCs w:val="20"/>
      <w:lang w:eastAsia="hu-HU"/>
    </w:rPr>
  </w:style>
  <w:style w:type="character" w:customStyle="1" w:styleId="SzvegtrzsChar">
    <w:name w:val="Szövegtörzs Char"/>
    <w:basedOn w:val="Bekezdsalapbettpusa"/>
    <w:link w:val="Szvegtrzs"/>
    <w:uiPriority w:val="99"/>
    <w:semiHidden/>
    <w:rsid w:val="001564EC"/>
    <w:rPr>
      <w:rFonts w:ascii="H-Times New Roman" w:eastAsia="Times New Roman" w:hAnsi="H-Times New Roman" w:cs="Times New Roman"/>
      <w:szCs w:val="20"/>
      <w:lang w:eastAsia="hu-HU"/>
    </w:rPr>
  </w:style>
  <w:style w:type="character" w:styleId="Jegyzethivatkozs">
    <w:name w:val="annotation reference"/>
    <w:basedOn w:val="Bekezdsalapbettpusa"/>
    <w:uiPriority w:val="99"/>
    <w:semiHidden/>
    <w:unhideWhenUsed/>
    <w:rsid w:val="001564EC"/>
    <w:rPr>
      <w:sz w:val="16"/>
      <w:szCs w:val="16"/>
    </w:rPr>
  </w:style>
  <w:style w:type="paragraph" w:styleId="Jegyzetszveg">
    <w:name w:val="annotation text"/>
    <w:basedOn w:val="Norml"/>
    <w:link w:val="JegyzetszvegChar"/>
    <w:uiPriority w:val="99"/>
    <w:unhideWhenUsed/>
    <w:rsid w:val="001564EC"/>
    <w:pPr>
      <w:spacing w:line="240" w:lineRule="auto"/>
    </w:pPr>
    <w:rPr>
      <w:sz w:val="20"/>
      <w:szCs w:val="20"/>
    </w:rPr>
  </w:style>
  <w:style w:type="character" w:customStyle="1" w:styleId="JegyzetszvegChar">
    <w:name w:val="Jegyzetszöveg Char"/>
    <w:basedOn w:val="Bekezdsalapbettpusa"/>
    <w:link w:val="Jegyzetszveg"/>
    <w:uiPriority w:val="99"/>
    <w:rsid w:val="001564EC"/>
    <w:rPr>
      <w:sz w:val="20"/>
      <w:szCs w:val="20"/>
    </w:rPr>
  </w:style>
  <w:style w:type="paragraph" w:styleId="Buborkszveg">
    <w:name w:val="Balloon Text"/>
    <w:basedOn w:val="Norml"/>
    <w:link w:val="BuborkszvegChar"/>
    <w:uiPriority w:val="99"/>
    <w:semiHidden/>
    <w:unhideWhenUsed/>
    <w:rsid w:val="001564E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564EC"/>
    <w:rPr>
      <w:rFonts w:ascii="Tahoma" w:hAnsi="Tahoma" w:cs="Tahoma"/>
      <w:sz w:val="16"/>
      <w:szCs w:val="16"/>
    </w:rPr>
  </w:style>
  <w:style w:type="paragraph" w:styleId="lfej">
    <w:name w:val="header"/>
    <w:basedOn w:val="Norml"/>
    <w:link w:val="lfejChar"/>
    <w:uiPriority w:val="99"/>
    <w:unhideWhenUsed/>
    <w:rsid w:val="00D83AC6"/>
    <w:pPr>
      <w:tabs>
        <w:tab w:val="center" w:pos="4536"/>
        <w:tab w:val="right" w:pos="9072"/>
      </w:tabs>
      <w:spacing w:after="0" w:line="240" w:lineRule="auto"/>
    </w:pPr>
  </w:style>
  <w:style w:type="character" w:customStyle="1" w:styleId="lfejChar">
    <w:name w:val="Élőfej Char"/>
    <w:basedOn w:val="Bekezdsalapbettpusa"/>
    <w:link w:val="lfej"/>
    <w:uiPriority w:val="99"/>
    <w:rsid w:val="00D83AC6"/>
  </w:style>
  <w:style w:type="paragraph" w:styleId="llb">
    <w:name w:val="footer"/>
    <w:basedOn w:val="Norml"/>
    <w:link w:val="llbChar"/>
    <w:uiPriority w:val="99"/>
    <w:unhideWhenUsed/>
    <w:rsid w:val="00D83AC6"/>
    <w:pPr>
      <w:tabs>
        <w:tab w:val="center" w:pos="4536"/>
        <w:tab w:val="right" w:pos="9072"/>
      </w:tabs>
      <w:spacing w:after="0" w:line="240" w:lineRule="auto"/>
    </w:pPr>
  </w:style>
  <w:style w:type="character" w:customStyle="1" w:styleId="llbChar">
    <w:name w:val="Élőláb Char"/>
    <w:basedOn w:val="Bekezdsalapbettpusa"/>
    <w:link w:val="llb"/>
    <w:uiPriority w:val="99"/>
    <w:rsid w:val="00D83AC6"/>
  </w:style>
  <w:style w:type="paragraph" w:styleId="Megjegyzstrgya">
    <w:name w:val="annotation subject"/>
    <w:basedOn w:val="Jegyzetszveg"/>
    <w:next w:val="Jegyzetszveg"/>
    <w:link w:val="MegjegyzstrgyaChar"/>
    <w:uiPriority w:val="99"/>
    <w:semiHidden/>
    <w:unhideWhenUsed/>
    <w:rsid w:val="000F7B36"/>
    <w:rPr>
      <w:b/>
      <w:bCs/>
    </w:rPr>
  </w:style>
  <w:style w:type="character" w:customStyle="1" w:styleId="MegjegyzstrgyaChar">
    <w:name w:val="Megjegyzés tárgya Char"/>
    <w:basedOn w:val="JegyzetszvegChar"/>
    <w:link w:val="Megjegyzstrgya"/>
    <w:uiPriority w:val="99"/>
    <w:semiHidden/>
    <w:rsid w:val="000F7B36"/>
    <w:rPr>
      <w:b/>
      <w:bCs/>
      <w:sz w:val="20"/>
      <w:szCs w:val="20"/>
    </w:rPr>
  </w:style>
  <w:style w:type="character" w:styleId="Hiperhivatkozs">
    <w:name w:val="Hyperlink"/>
    <w:basedOn w:val="Bekezdsalapbettpusa"/>
    <w:uiPriority w:val="99"/>
    <w:unhideWhenUsed/>
    <w:rsid w:val="001C3818"/>
    <w:rPr>
      <w:color w:val="0000FF" w:themeColor="hyperlink"/>
      <w:u w:val="single"/>
    </w:rPr>
  </w:style>
  <w:style w:type="character" w:styleId="Mrltotthiperhivatkozs">
    <w:name w:val="FollowedHyperlink"/>
    <w:basedOn w:val="Bekezdsalapbettpusa"/>
    <w:uiPriority w:val="99"/>
    <w:semiHidden/>
    <w:unhideWhenUsed/>
    <w:rsid w:val="00823FF4"/>
    <w:rPr>
      <w:color w:val="800080" w:themeColor="followedHyperlink"/>
      <w:u w:val="single"/>
    </w:rPr>
  </w:style>
  <w:style w:type="character" w:customStyle="1" w:styleId="y2iqfc">
    <w:name w:val="y2iqfc"/>
    <w:basedOn w:val="Bekezdsalapbettpusa"/>
    <w:rsid w:val="00C91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echr.coe.int/Documents/Convention_HUN.pdf" TargetMode="External"/><Relationship Id="rId1" Type="http://schemas.openxmlformats.org/officeDocument/2006/relationships/hyperlink" Target="https://coebank.org/media/documents/Environmental_and_Social_Safeguards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F7DA1-09F3-4833-80CB-31B06CB367E5}">
  <ds:schemaRefs>
    <ds:schemaRef ds:uri="http://schemas.microsoft.com/sharepoint/v3/contenttype/forms"/>
  </ds:schemaRefs>
</ds:datastoreItem>
</file>

<file path=customXml/itemProps2.xml><?xml version="1.0" encoding="utf-8"?>
<ds:datastoreItem xmlns:ds="http://schemas.openxmlformats.org/officeDocument/2006/customXml" ds:itemID="{A6330EDA-BA5E-452B-9FCC-7E6D2C710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82FDF-2504-4241-83FB-82D01A5D4EA2}">
  <ds:schemaRefs>
    <ds:schemaRef ds:uri="http://purl.org/dc/dcmitype/"/>
    <ds:schemaRef ds:uri="http://schemas.microsoft.com/office/infopath/2007/PartnerControls"/>
    <ds:schemaRef ds:uri="b7cf37d0-08b4-4276-a4c6-69bd6952a986"/>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8EA70BC5-0604-45BA-936B-3FC897D7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6089</Characters>
  <Application>Microsoft Office Word</Application>
  <DocSecurity>0</DocSecurity>
  <Lines>50</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Útmutató melléklet</vt:lpstr>
      <vt:lpstr/>
    </vt:vector>
  </TitlesOfParts>
  <Company>EXIM</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Útmutató melléklet</dc:title>
  <dc:creator>Gyetvainé Horváth Mária</dc:creator>
  <cp:lastModifiedBy>Ferencz Ildikó</cp:lastModifiedBy>
  <cp:revision>2</cp:revision>
  <cp:lastPrinted>2018-12-13T13:10:00Z</cp:lastPrinted>
  <dcterms:created xsi:type="dcterms:W3CDTF">2024-03-26T15:07:00Z</dcterms:created>
  <dcterms:modified xsi:type="dcterms:W3CDTF">2024-03-26T15:07:00Z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ies>
</file>